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B1132" w14:textId="6E59DA63" w:rsidR="00440EAC" w:rsidRDefault="00440EAC" w:rsidP="00440EAC">
      <w:pPr>
        <w:pStyle w:val="DAAnnexes"/>
      </w:pPr>
      <w:r>
        <w:rPr>
          <w:rFonts w:eastAsia="Times New Roman"/>
          <w:b w:val="0"/>
          <w:bCs w:val="0"/>
          <w:noProof/>
        </w:rPr>
        <w:drawing>
          <wp:anchor distT="0" distB="0" distL="114300" distR="114300" simplePos="0" relativeHeight="251662336" behindDoc="0" locked="0" layoutInCell="1" allowOverlap="1" wp14:anchorId="5CAB2AEA" wp14:editId="30EE31FE">
            <wp:simplePos x="0" y="0"/>
            <wp:positionH relativeFrom="column">
              <wp:posOffset>7600950</wp:posOffset>
            </wp:positionH>
            <wp:positionV relativeFrom="paragraph">
              <wp:posOffset>-264160</wp:posOffset>
            </wp:positionV>
            <wp:extent cx="1055585" cy="460093"/>
            <wp:effectExtent l="0" t="0" r="0" b="0"/>
            <wp:wrapNone/>
            <wp:docPr id="36" name="Picture 3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5585" cy="460093"/>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val="0"/>
          <w:bCs w:val="0"/>
          <w:noProof/>
        </w:rPr>
        <w:drawing>
          <wp:anchor distT="0" distB="0" distL="114300" distR="114300" simplePos="0" relativeHeight="251657216" behindDoc="0" locked="0" layoutInCell="1" allowOverlap="1" wp14:anchorId="1140F548" wp14:editId="262CBD4F">
            <wp:simplePos x="0" y="0"/>
            <wp:positionH relativeFrom="column">
              <wp:posOffset>8896350</wp:posOffset>
            </wp:positionH>
            <wp:positionV relativeFrom="paragraph">
              <wp:posOffset>-264160</wp:posOffset>
            </wp:positionV>
            <wp:extent cx="1134110" cy="354071"/>
            <wp:effectExtent l="0" t="0" r="0" b="8255"/>
            <wp:wrapNone/>
            <wp:docPr id="37" name="Picture 3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4110" cy="354071"/>
                    </a:xfrm>
                    <a:prstGeom prst="rect">
                      <a:avLst/>
                    </a:prstGeom>
                  </pic:spPr>
                </pic:pic>
              </a:graphicData>
            </a:graphic>
            <wp14:sizeRelH relativeFrom="page">
              <wp14:pctWidth>0</wp14:pctWidth>
            </wp14:sizeRelH>
            <wp14:sizeRelV relativeFrom="page">
              <wp14:pctHeight>0</wp14:pctHeight>
            </wp14:sizeRelV>
          </wp:anchor>
        </w:drawing>
      </w:r>
      <w:r w:rsidRPr="00D66CA8">
        <w:rPr>
          <w:rFonts w:eastAsia="Times New Roman"/>
        </w:rPr>
        <w:t xml:space="preserve">Digital </w:t>
      </w:r>
      <w:r>
        <w:rPr>
          <w:rFonts w:eastAsia="Times New Roman"/>
        </w:rPr>
        <w:t xml:space="preserve">Safeguarding &amp; Prevent </w:t>
      </w:r>
      <w:r w:rsidRPr="00D66CA8">
        <w:rPr>
          <w:rFonts w:eastAsia="Times New Roman"/>
        </w:rPr>
        <w:t xml:space="preserve">Guidance </w:t>
      </w:r>
      <w:r w:rsidRPr="00D66CA8">
        <w:t>Materials</w:t>
      </w:r>
    </w:p>
    <w:p w14:paraId="344F73B2" w14:textId="77777777" w:rsidR="00440EAC" w:rsidRDefault="00440EAC" w:rsidP="00440EAC">
      <w:pPr>
        <w:pStyle w:val="DAAnnexes"/>
      </w:pPr>
    </w:p>
    <w:p w14:paraId="671646E8" w14:textId="707069C2" w:rsidR="00440EAC" w:rsidRDefault="00440EAC" w:rsidP="00440EAC">
      <w:pPr>
        <w:pStyle w:val="DAAnnexes"/>
      </w:pPr>
      <w:r w:rsidRPr="00D66CA8">
        <w:t xml:space="preserve">Annex </w:t>
      </w:r>
      <w:r>
        <w:t>3</w:t>
      </w:r>
      <w:r w:rsidR="009500F8">
        <w:t xml:space="preserve"> – ACL Essex’s Prevent and Safeguarding Strategy Risk Assessment</w:t>
      </w:r>
    </w:p>
    <w:p w14:paraId="148E98F4" w14:textId="77777777" w:rsidR="00563643" w:rsidRDefault="00B93ED4" w:rsidP="00B93ED4">
      <w:pPr>
        <w:spacing w:line="240" w:lineRule="auto"/>
        <w:jc w:val="right"/>
        <w:rPr>
          <w:rFonts w:eastAsia="Times" w:cs="Times New Roman"/>
          <w:noProof/>
          <w:sz w:val="72"/>
          <w:szCs w:val="72"/>
          <w:u w:val="single"/>
        </w:rPr>
      </w:pPr>
      <w:r>
        <w:rPr>
          <w:noProof/>
          <w:lang w:eastAsia="zh-CN"/>
        </w:rPr>
        <w:drawing>
          <wp:inline distT="0" distB="0" distL="0" distR="0" wp14:anchorId="5E7EC8FE" wp14:editId="40F1A18D">
            <wp:extent cx="1224070" cy="1224070"/>
            <wp:effectExtent l="0" t="0" r="0" b="0"/>
            <wp:docPr id="1" name="Picture 1" descr="A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554" cy="1238554"/>
                    </a:xfrm>
                    <a:prstGeom prst="rect">
                      <a:avLst/>
                    </a:prstGeom>
                    <a:noFill/>
                    <a:ln>
                      <a:noFill/>
                    </a:ln>
                  </pic:spPr>
                </pic:pic>
              </a:graphicData>
            </a:graphic>
          </wp:inline>
        </w:drawing>
      </w:r>
    </w:p>
    <w:p w14:paraId="3D8E7346" w14:textId="77777777" w:rsidR="00563643" w:rsidRDefault="00563643" w:rsidP="00CE582B">
      <w:pPr>
        <w:spacing w:line="240" w:lineRule="auto"/>
        <w:jc w:val="center"/>
        <w:rPr>
          <w:rFonts w:eastAsia="Times" w:cs="Times New Roman"/>
          <w:noProof/>
          <w:sz w:val="72"/>
          <w:szCs w:val="72"/>
          <w:u w:val="single"/>
        </w:rPr>
      </w:pPr>
    </w:p>
    <w:p w14:paraId="1CE92BD5" w14:textId="77777777" w:rsidR="00CE582B" w:rsidRPr="00CE582B" w:rsidRDefault="00CE582B" w:rsidP="00CE582B">
      <w:pPr>
        <w:spacing w:line="240" w:lineRule="auto"/>
        <w:jc w:val="center"/>
        <w:rPr>
          <w:rFonts w:eastAsia="Times" w:cs="Times New Roman"/>
          <w:noProof/>
          <w:sz w:val="72"/>
          <w:szCs w:val="72"/>
          <w:u w:val="single"/>
        </w:rPr>
      </w:pPr>
      <w:r w:rsidRPr="00CE582B">
        <w:rPr>
          <w:rFonts w:eastAsia="Times" w:cs="Times New Roman"/>
          <w:noProof/>
          <w:sz w:val="72"/>
          <w:szCs w:val="72"/>
          <w:u w:val="single"/>
        </w:rPr>
        <w:t>Adult Community Learning Essex</w:t>
      </w:r>
    </w:p>
    <w:p w14:paraId="38435755" w14:textId="77777777" w:rsidR="00CE582B" w:rsidRPr="00CE582B" w:rsidRDefault="00CE582B" w:rsidP="00CE582B">
      <w:pPr>
        <w:spacing w:line="240" w:lineRule="auto"/>
        <w:jc w:val="center"/>
        <w:rPr>
          <w:rFonts w:eastAsia="Times" w:cs="Times New Roman"/>
          <w:noProof/>
          <w:sz w:val="72"/>
          <w:szCs w:val="72"/>
          <w:u w:val="single"/>
        </w:rPr>
      </w:pPr>
    </w:p>
    <w:p w14:paraId="0A7A2043" w14:textId="77777777" w:rsidR="00CE582B" w:rsidRPr="00CE582B" w:rsidRDefault="00CE582B" w:rsidP="00CE582B">
      <w:pPr>
        <w:spacing w:line="240" w:lineRule="auto"/>
        <w:rPr>
          <w:rFonts w:eastAsia="Times" w:cs="Times New Roman"/>
          <w:noProof/>
          <w:szCs w:val="20"/>
        </w:rPr>
      </w:pPr>
    </w:p>
    <w:p w14:paraId="0A346FA7" w14:textId="77777777" w:rsidR="00563643" w:rsidRDefault="00CE582B" w:rsidP="00CE582B">
      <w:pPr>
        <w:spacing w:line="240" w:lineRule="auto"/>
        <w:jc w:val="center"/>
        <w:rPr>
          <w:rFonts w:eastAsia="Times" w:cs="Times New Roman"/>
          <w:noProof/>
          <w:sz w:val="56"/>
          <w:szCs w:val="56"/>
          <w:u w:val="single"/>
        </w:rPr>
      </w:pPr>
      <w:r w:rsidRPr="00CE582B">
        <w:rPr>
          <w:rFonts w:eastAsia="Times" w:cs="Times New Roman"/>
          <w:noProof/>
          <w:sz w:val="56"/>
          <w:szCs w:val="56"/>
          <w:u w:val="single"/>
        </w:rPr>
        <w:t xml:space="preserve">Prevent and Safeguarding Strategy </w:t>
      </w:r>
      <w:r>
        <w:rPr>
          <w:rFonts w:eastAsia="Times" w:cs="Times New Roman"/>
          <w:noProof/>
          <w:sz w:val="56"/>
          <w:szCs w:val="56"/>
          <w:u w:val="single"/>
        </w:rPr>
        <w:t xml:space="preserve">and Risk Register </w:t>
      </w:r>
    </w:p>
    <w:p w14:paraId="18AC0DD2" w14:textId="77777777" w:rsidR="00CE582B" w:rsidRPr="00CE582B" w:rsidRDefault="00CE582B" w:rsidP="00CE582B">
      <w:pPr>
        <w:spacing w:line="240" w:lineRule="auto"/>
        <w:jc w:val="center"/>
        <w:rPr>
          <w:rFonts w:eastAsia="Times" w:cs="Times New Roman"/>
          <w:noProof/>
          <w:sz w:val="56"/>
          <w:szCs w:val="56"/>
          <w:u w:val="single"/>
        </w:rPr>
      </w:pPr>
      <w:r w:rsidRPr="00CE582B">
        <w:rPr>
          <w:rFonts w:eastAsia="Times" w:cs="Times New Roman"/>
          <w:noProof/>
          <w:sz w:val="56"/>
          <w:szCs w:val="56"/>
          <w:u w:val="single"/>
        </w:rPr>
        <w:t>201</w:t>
      </w:r>
      <w:r w:rsidR="003E59E3">
        <w:rPr>
          <w:rFonts w:eastAsia="Times" w:cs="Times New Roman"/>
          <w:noProof/>
          <w:sz w:val="56"/>
          <w:szCs w:val="56"/>
          <w:u w:val="single"/>
        </w:rPr>
        <w:t>9</w:t>
      </w:r>
      <w:r w:rsidRPr="00CE582B">
        <w:rPr>
          <w:rFonts w:eastAsia="Times" w:cs="Times New Roman"/>
          <w:noProof/>
          <w:sz w:val="56"/>
          <w:szCs w:val="56"/>
          <w:u w:val="single"/>
        </w:rPr>
        <w:t>-2</w:t>
      </w:r>
      <w:r w:rsidR="003E59E3">
        <w:rPr>
          <w:rFonts w:eastAsia="Times" w:cs="Times New Roman"/>
          <w:noProof/>
          <w:sz w:val="56"/>
          <w:szCs w:val="56"/>
          <w:u w:val="single"/>
        </w:rPr>
        <w:t>0</w:t>
      </w:r>
    </w:p>
    <w:p w14:paraId="1B9AF4F4" w14:textId="77777777" w:rsidR="00CE582B" w:rsidRDefault="00CE582B"/>
    <w:p w14:paraId="22B3E8F1" w14:textId="77777777" w:rsidR="00CE582B" w:rsidRDefault="00CE582B"/>
    <w:p w14:paraId="6AFC3725" w14:textId="77777777" w:rsidR="00CE582B" w:rsidRDefault="00CE582B"/>
    <w:p w14:paraId="68DC7F39" w14:textId="77777777" w:rsidR="00CE582B" w:rsidRDefault="00CE582B"/>
    <w:p w14:paraId="6E09A66A" w14:textId="77777777" w:rsidR="00CE582B" w:rsidRDefault="00CE582B"/>
    <w:p w14:paraId="03422241" w14:textId="77777777" w:rsidR="00CE582B" w:rsidRDefault="00CE582B"/>
    <w:p w14:paraId="1B28C0E7" w14:textId="77777777" w:rsidR="00CE582B" w:rsidRDefault="00CE582B" w:rsidP="00CE582B">
      <w:pPr>
        <w:spacing w:line="240" w:lineRule="auto"/>
        <w:jc w:val="center"/>
        <w:rPr>
          <w:rFonts w:eastAsia="Calibri" w:cs="Times New Roman"/>
          <w:b/>
          <w:noProof/>
          <w:sz w:val="32"/>
          <w:szCs w:val="32"/>
        </w:rPr>
      </w:pPr>
    </w:p>
    <w:p w14:paraId="057D149F" w14:textId="77777777" w:rsidR="00CE582B" w:rsidRDefault="00CE582B" w:rsidP="00CE582B">
      <w:pPr>
        <w:spacing w:line="240" w:lineRule="auto"/>
        <w:jc w:val="center"/>
        <w:rPr>
          <w:rFonts w:eastAsia="Calibri" w:cs="Times New Roman"/>
          <w:b/>
          <w:noProof/>
          <w:sz w:val="32"/>
          <w:szCs w:val="32"/>
        </w:rPr>
      </w:pPr>
    </w:p>
    <w:p w14:paraId="2A8CD2CF" w14:textId="77777777" w:rsidR="00CE582B" w:rsidRDefault="00CE582B" w:rsidP="00CE582B">
      <w:pPr>
        <w:spacing w:line="240" w:lineRule="auto"/>
        <w:jc w:val="center"/>
        <w:rPr>
          <w:rFonts w:eastAsia="Calibri" w:cs="Times New Roman"/>
          <w:b/>
          <w:noProof/>
          <w:sz w:val="32"/>
          <w:szCs w:val="32"/>
        </w:rPr>
      </w:pPr>
    </w:p>
    <w:p w14:paraId="778007C4" w14:textId="77777777" w:rsidR="00CE582B" w:rsidRDefault="00CE582B" w:rsidP="00CE582B">
      <w:pPr>
        <w:spacing w:line="240" w:lineRule="auto"/>
        <w:jc w:val="center"/>
        <w:rPr>
          <w:rFonts w:eastAsia="Calibri" w:cs="Times New Roman"/>
          <w:b/>
          <w:noProof/>
          <w:sz w:val="32"/>
          <w:szCs w:val="32"/>
        </w:rPr>
      </w:pPr>
    </w:p>
    <w:p w14:paraId="05B6EFBB" w14:textId="77777777" w:rsidR="00CE582B" w:rsidRDefault="00CE582B" w:rsidP="00CE582B">
      <w:pPr>
        <w:spacing w:line="240" w:lineRule="auto"/>
        <w:jc w:val="center"/>
        <w:rPr>
          <w:rFonts w:eastAsia="Calibri" w:cs="Times New Roman"/>
          <w:b/>
          <w:noProof/>
          <w:sz w:val="32"/>
          <w:szCs w:val="32"/>
        </w:rPr>
      </w:pPr>
    </w:p>
    <w:p w14:paraId="26D95415" w14:textId="77777777" w:rsidR="00CE582B" w:rsidRPr="00CE582B" w:rsidRDefault="00CE582B" w:rsidP="00CE582B">
      <w:pPr>
        <w:spacing w:line="240" w:lineRule="auto"/>
        <w:jc w:val="center"/>
        <w:rPr>
          <w:rFonts w:eastAsia="Calibri" w:cs="Times New Roman"/>
          <w:b/>
          <w:noProof/>
          <w:sz w:val="32"/>
          <w:szCs w:val="32"/>
        </w:rPr>
      </w:pPr>
      <w:r w:rsidRPr="00CE582B">
        <w:rPr>
          <w:rFonts w:eastAsia="Calibri" w:cs="Times New Roman"/>
          <w:b/>
          <w:noProof/>
          <w:sz w:val="32"/>
          <w:szCs w:val="32"/>
        </w:rPr>
        <w:t xml:space="preserve">This document provides a framework for the ACL </w:t>
      </w:r>
      <w:r>
        <w:rPr>
          <w:rFonts w:eastAsia="Calibri" w:cs="Times New Roman"/>
          <w:b/>
          <w:noProof/>
          <w:sz w:val="32"/>
          <w:szCs w:val="32"/>
        </w:rPr>
        <w:t>Safeguarding</w:t>
      </w:r>
      <w:r w:rsidRPr="00CE582B">
        <w:rPr>
          <w:rFonts w:eastAsia="Calibri" w:cs="Times New Roman"/>
          <w:b/>
          <w:noProof/>
          <w:sz w:val="32"/>
          <w:szCs w:val="32"/>
        </w:rPr>
        <w:t xml:space="preserve"> Lead on assessing and addressing Prevent and Safeguarding vulnerabilities within ACL.</w:t>
      </w:r>
    </w:p>
    <w:p w14:paraId="7A7B5EE6" w14:textId="77777777" w:rsidR="00CE582B" w:rsidRPr="00CE582B" w:rsidRDefault="00CE582B" w:rsidP="00CE582B">
      <w:pPr>
        <w:spacing w:line="240" w:lineRule="auto"/>
        <w:jc w:val="center"/>
        <w:rPr>
          <w:rFonts w:eastAsia="Calibri" w:cs="Times New Roman"/>
          <w:b/>
          <w:noProof/>
          <w:sz w:val="32"/>
          <w:szCs w:val="32"/>
        </w:rPr>
      </w:pPr>
    </w:p>
    <w:p w14:paraId="69F4A360" w14:textId="77777777" w:rsidR="00CE582B" w:rsidRPr="00CE582B" w:rsidRDefault="00CE582B" w:rsidP="00CE582B">
      <w:pPr>
        <w:spacing w:line="240" w:lineRule="auto"/>
        <w:rPr>
          <w:rFonts w:eastAsia="Calibri" w:cs="Times New Roman"/>
          <w:noProof/>
          <w:sz w:val="28"/>
          <w:szCs w:val="28"/>
        </w:rPr>
      </w:pPr>
      <w:r w:rsidRPr="00CE582B">
        <w:rPr>
          <w:rFonts w:eastAsia="Calibri" w:cs="Times New Roman"/>
          <w:noProof/>
          <w:sz w:val="28"/>
          <w:szCs w:val="28"/>
        </w:rPr>
        <w:t xml:space="preserve">The Prevent Objectives will be addressed through: </w:t>
      </w:r>
    </w:p>
    <w:p w14:paraId="692C8399" w14:textId="77777777" w:rsidR="00CE582B" w:rsidRPr="00CE582B" w:rsidRDefault="00CE582B" w:rsidP="00CE582B">
      <w:pPr>
        <w:numPr>
          <w:ilvl w:val="0"/>
          <w:numId w:val="1"/>
        </w:numPr>
        <w:spacing w:line="240" w:lineRule="auto"/>
        <w:rPr>
          <w:rFonts w:eastAsia="Calibri" w:cs="Times New Roman"/>
          <w:noProof/>
          <w:sz w:val="28"/>
          <w:szCs w:val="28"/>
        </w:rPr>
      </w:pPr>
      <w:r w:rsidRPr="00CE582B">
        <w:rPr>
          <w:rFonts w:eastAsia="Calibri" w:cs="Times New Roman"/>
          <w:b/>
          <w:noProof/>
          <w:sz w:val="28"/>
          <w:szCs w:val="28"/>
        </w:rPr>
        <w:t>Responding to the ideological challenge of terrorism and the threat we face from those who promote it.</w:t>
      </w:r>
    </w:p>
    <w:p w14:paraId="6BC169BC" w14:textId="77777777" w:rsidR="00CE582B" w:rsidRPr="00CE582B" w:rsidRDefault="00CE582B" w:rsidP="00CE582B">
      <w:pPr>
        <w:spacing w:line="240" w:lineRule="auto"/>
        <w:rPr>
          <w:rFonts w:eastAsia="Calibri" w:cs="Times New Roman"/>
          <w:noProof/>
          <w:sz w:val="28"/>
          <w:szCs w:val="28"/>
        </w:rPr>
      </w:pPr>
      <w:r w:rsidRPr="00CE582B">
        <w:rPr>
          <w:rFonts w:eastAsia="Calibri" w:cs="Times New Roman"/>
          <w:noProof/>
          <w:sz w:val="28"/>
          <w:szCs w:val="28"/>
        </w:rPr>
        <w:t>The use of teaching and learning to enable staff and learners to develop the skills and knowledge to challenge terrorist ideologies.</w:t>
      </w:r>
    </w:p>
    <w:p w14:paraId="76023360" w14:textId="77777777" w:rsidR="00CE582B" w:rsidRPr="00CE582B" w:rsidRDefault="00CE582B" w:rsidP="00CE582B">
      <w:pPr>
        <w:numPr>
          <w:ilvl w:val="0"/>
          <w:numId w:val="1"/>
        </w:numPr>
        <w:spacing w:line="240" w:lineRule="auto"/>
        <w:rPr>
          <w:rFonts w:eastAsia="Calibri" w:cs="Times New Roman"/>
          <w:b/>
          <w:noProof/>
          <w:sz w:val="28"/>
          <w:szCs w:val="28"/>
        </w:rPr>
      </w:pPr>
      <w:r w:rsidRPr="00CE582B">
        <w:rPr>
          <w:rFonts w:eastAsia="Calibri" w:cs="Times New Roman"/>
          <w:noProof/>
          <w:sz w:val="28"/>
          <w:szCs w:val="28"/>
        </w:rPr>
        <w:t xml:space="preserve"> </w:t>
      </w:r>
      <w:r w:rsidRPr="00CE582B">
        <w:rPr>
          <w:rFonts w:eastAsia="Calibri" w:cs="Times New Roman"/>
          <w:b/>
          <w:noProof/>
          <w:sz w:val="28"/>
          <w:szCs w:val="28"/>
        </w:rPr>
        <w:t>Preventing people from being drawn into terrorism and ensure that they are given appropriate advice and support</w:t>
      </w:r>
    </w:p>
    <w:p w14:paraId="4D79E13C" w14:textId="77777777" w:rsidR="00CE582B" w:rsidRPr="00CE582B" w:rsidRDefault="00CE582B" w:rsidP="00CE582B">
      <w:pPr>
        <w:spacing w:line="240" w:lineRule="auto"/>
        <w:rPr>
          <w:rFonts w:eastAsia="Calibri" w:cs="Times New Roman"/>
          <w:noProof/>
          <w:sz w:val="28"/>
          <w:szCs w:val="28"/>
        </w:rPr>
      </w:pPr>
      <w:r w:rsidRPr="00CE582B">
        <w:rPr>
          <w:rFonts w:eastAsia="Calibri" w:cs="Times New Roman"/>
          <w:noProof/>
          <w:sz w:val="28"/>
          <w:szCs w:val="28"/>
        </w:rPr>
        <w:t>Providing support to those learners who are vulnerable, identifying how to prevent harm to learners by individuals, groups or others who promote terrorism and violent extremism.</w:t>
      </w:r>
    </w:p>
    <w:p w14:paraId="57C2A246" w14:textId="77777777" w:rsidR="00CE582B" w:rsidRPr="00CE582B" w:rsidRDefault="00CE582B" w:rsidP="00CE582B">
      <w:pPr>
        <w:numPr>
          <w:ilvl w:val="0"/>
          <w:numId w:val="1"/>
        </w:numPr>
        <w:spacing w:line="240" w:lineRule="auto"/>
        <w:rPr>
          <w:rFonts w:eastAsia="Calibri" w:cs="Times New Roman"/>
          <w:b/>
          <w:noProof/>
          <w:sz w:val="28"/>
          <w:szCs w:val="28"/>
        </w:rPr>
      </w:pPr>
      <w:r w:rsidRPr="00CE582B">
        <w:rPr>
          <w:rFonts w:eastAsia="Calibri" w:cs="Times New Roman"/>
          <w:b/>
          <w:noProof/>
          <w:sz w:val="28"/>
          <w:szCs w:val="28"/>
        </w:rPr>
        <w:t>Supporting sectors and institutions where there are risks of radicalisation</w:t>
      </w:r>
    </w:p>
    <w:p w14:paraId="60D82B59" w14:textId="77777777" w:rsidR="00CE582B" w:rsidRPr="00CE582B" w:rsidRDefault="00CE582B" w:rsidP="00CE582B">
      <w:pPr>
        <w:spacing w:line="240" w:lineRule="auto"/>
        <w:rPr>
          <w:rFonts w:eastAsia="Calibri" w:cs="Times New Roman"/>
          <w:noProof/>
          <w:sz w:val="28"/>
          <w:szCs w:val="28"/>
        </w:rPr>
      </w:pPr>
      <w:r w:rsidRPr="00CE582B">
        <w:rPr>
          <w:rFonts w:eastAsia="Calibri" w:cs="Times New Roman"/>
          <w:noProof/>
          <w:sz w:val="28"/>
          <w:szCs w:val="28"/>
        </w:rPr>
        <w:t>Increase resilience through training and awareness raising. Use curriculum opportunities to facilitate the exchange of opinions and  ideas and promote British values. Ensure that resources are not used by extremist groups.</w:t>
      </w:r>
    </w:p>
    <w:p w14:paraId="6003DFF4" w14:textId="77777777" w:rsidR="00CE582B" w:rsidRPr="00CE582B" w:rsidRDefault="00CE582B" w:rsidP="00CE582B">
      <w:pPr>
        <w:spacing w:line="240" w:lineRule="auto"/>
        <w:rPr>
          <w:rFonts w:eastAsia="Calibri" w:cs="Times New Roman"/>
          <w:noProof/>
          <w:sz w:val="28"/>
          <w:szCs w:val="28"/>
        </w:rPr>
      </w:pPr>
    </w:p>
    <w:p w14:paraId="0FB37FB1" w14:textId="77777777" w:rsidR="00CE582B" w:rsidRPr="00CE582B" w:rsidRDefault="00CE582B" w:rsidP="00CE582B">
      <w:pPr>
        <w:spacing w:line="240" w:lineRule="auto"/>
        <w:rPr>
          <w:rFonts w:eastAsia="Calibri" w:cs="Times New Roman"/>
          <w:noProof/>
          <w:sz w:val="28"/>
          <w:szCs w:val="28"/>
        </w:rPr>
      </w:pPr>
      <w:r w:rsidRPr="00CE582B">
        <w:rPr>
          <w:rFonts w:eastAsia="Calibri" w:cs="Times New Roman"/>
          <w:noProof/>
          <w:sz w:val="28"/>
          <w:szCs w:val="28"/>
        </w:rPr>
        <w:t>This document will include a review of relevant existing policies and procedures in regard to the following:</w:t>
      </w:r>
    </w:p>
    <w:p w14:paraId="743659ED" w14:textId="77777777" w:rsidR="00CE582B" w:rsidRPr="00CE582B" w:rsidRDefault="00CE582B" w:rsidP="00CE582B">
      <w:pPr>
        <w:spacing w:line="240" w:lineRule="auto"/>
        <w:rPr>
          <w:rFonts w:eastAsia="Calibri" w:cs="Times New Roman"/>
          <w:noProof/>
          <w:sz w:val="28"/>
          <w:szCs w:val="28"/>
        </w:rPr>
      </w:pPr>
    </w:p>
    <w:p w14:paraId="6424D4E1" w14:textId="77777777" w:rsidR="00CE582B" w:rsidRPr="00CE582B" w:rsidRDefault="00CE582B" w:rsidP="00CE582B">
      <w:pPr>
        <w:numPr>
          <w:ilvl w:val="0"/>
          <w:numId w:val="2"/>
        </w:numPr>
        <w:spacing w:line="240" w:lineRule="auto"/>
        <w:rPr>
          <w:rFonts w:eastAsia="Calibri" w:cs="Times New Roman"/>
          <w:noProof/>
          <w:sz w:val="28"/>
          <w:szCs w:val="28"/>
        </w:rPr>
      </w:pPr>
      <w:r w:rsidRPr="00CE582B">
        <w:rPr>
          <w:rFonts w:eastAsia="Calibri" w:cs="Times New Roman"/>
          <w:noProof/>
          <w:sz w:val="28"/>
          <w:szCs w:val="28"/>
        </w:rPr>
        <w:t xml:space="preserve">Leadership </w:t>
      </w:r>
    </w:p>
    <w:p w14:paraId="74079846" w14:textId="77777777" w:rsidR="00CE582B" w:rsidRPr="00CE582B" w:rsidRDefault="00CE582B" w:rsidP="00CE582B">
      <w:pPr>
        <w:numPr>
          <w:ilvl w:val="0"/>
          <w:numId w:val="2"/>
        </w:numPr>
        <w:spacing w:line="240" w:lineRule="auto"/>
        <w:rPr>
          <w:rFonts w:eastAsia="Calibri" w:cs="Times New Roman"/>
          <w:noProof/>
          <w:sz w:val="28"/>
          <w:szCs w:val="28"/>
        </w:rPr>
      </w:pPr>
      <w:r w:rsidRPr="00CE582B">
        <w:rPr>
          <w:rFonts w:eastAsia="Calibri" w:cs="Times New Roman"/>
          <w:noProof/>
          <w:sz w:val="28"/>
          <w:szCs w:val="28"/>
        </w:rPr>
        <w:t>Partnership</w:t>
      </w:r>
    </w:p>
    <w:p w14:paraId="62699BC8" w14:textId="77777777" w:rsidR="00CE582B" w:rsidRPr="00CE582B" w:rsidRDefault="00CE582B" w:rsidP="00CE582B">
      <w:pPr>
        <w:numPr>
          <w:ilvl w:val="0"/>
          <w:numId w:val="2"/>
        </w:numPr>
        <w:spacing w:line="240" w:lineRule="auto"/>
        <w:rPr>
          <w:rFonts w:eastAsia="Calibri" w:cs="Times New Roman"/>
          <w:noProof/>
          <w:sz w:val="28"/>
          <w:szCs w:val="28"/>
        </w:rPr>
      </w:pPr>
      <w:r w:rsidRPr="00CE582B">
        <w:rPr>
          <w:rFonts w:eastAsia="Calibri" w:cs="Times New Roman"/>
          <w:noProof/>
          <w:sz w:val="28"/>
          <w:szCs w:val="28"/>
        </w:rPr>
        <w:t>Safeguarding and pastoral care</w:t>
      </w:r>
    </w:p>
    <w:p w14:paraId="088A264B" w14:textId="77777777" w:rsidR="00CE582B" w:rsidRPr="00CE582B" w:rsidRDefault="00CE582B" w:rsidP="00CE582B">
      <w:pPr>
        <w:numPr>
          <w:ilvl w:val="0"/>
          <w:numId w:val="2"/>
        </w:numPr>
        <w:spacing w:line="240" w:lineRule="auto"/>
        <w:rPr>
          <w:rFonts w:eastAsia="Calibri" w:cs="Arial"/>
          <w:noProof/>
          <w:sz w:val="28"/>
          <w:szCs w:val="28"/>
        </w:rPr>
      </w:pPr>
      <w:r w:rsidRPr="00CE582B">
        <w:rPr>
          <w:rFonts w:eastAsia="Calibri" w:cs="Arial"/>
          <w:noProof/>
          <w:sz w:val="28"/>
          <w:szCs w:val="28"/>
        </w:rPr>
        <w:t>Staff and learner</w:t>
      </w:r>
      <w:r w:rsidRPr="00CE582B">
        <w:rPr>
          <w:rFonts w:eastAsia="Calibri" w:cs="Arial"/>
          <w:noProof/>
          <w:sz w:val="28"/>
          <w:szCs w:val="28"/>
          <w:u w:val="single"/>
        </w:rPr>
        <w:t xml:space="preserve"> </w:t>
      </w:r>
      <w:r w:rsidRPr="00CE582B">
        <w:rPr>
          <w:rFonts w:eastAsia="Calibri" w:cs="Arial"/>
          <w:noProof/>
          <w:sz w:val="28"/>
          <w:szCs w:val="28"/>
        </w:rPr>
        <w:t>resilience</w:t>
      </w:r>
    </w:p>
    <w:p w14:paraId="36EBCE88" w14:textId="77777777" w:rsidR="00CE582B" w:rsidRPr="00CE582B" w:rsidRDefault="00CE582B" w:rsidP="00CE582B">
      <w:pPr>
        <w:numPr>
          <w:ilvl w:val="0"/>
          <w:numId w:val="2"/>
        </w:numPr>
        <w:spacing w:line="240" w:lineRule="auto"/>
        <w:rPr>
          <w:rFonts w:eastAsia="Calibri" w:cs="Arial"/>
          <w:noProof/>
          <w:sz w:val="28"/>
          <w:szCs w:val="28"/>
        </w:rPr>
      </w:pPr>
      <w:r>
        <w:rPr>
          <w:rFonts w:eastAsia="Calibri" w:cs="Arial"/>
          <w:noProof/>
          <w:sz w:val="28"/>
          <w:szCs w:val="28"/>
        </w:rPr>
        <w:t>Online</w:t>
      </w:r>
      <w:r w:rsidRPr="00CE582B">
        <w:rPr>
          <w:rFonts w:eastAsia="Calibri" w:cs="Arial"/>
          <w:noProof/>
          <w:sz w:val="28"/>
          <w:szCs w:val="28"/>
        </w:rPr>
        <w:t xml:space="preserve"> safety</w:t>
      </w:r>
    </w:p>
    <w:p w14:paraId="0F5F1598" w14:textId="77777777" w:rsidR="00CE582B" w:rsidRPr="00CE582B" w:rsidRDefault="00CE582B" w:rsidP="00CE582B">
      <w:pPr>
        <w:numPr>
          <w:ilvl w:val="0"/>
          <w:numId w:val="2"/>
        </w:numPr>
        <w:spacing w:line="240" w:lineRule="auto"/>
        <w:rPr>
          <w:rFonts w:eastAsia="Calibri" w:cs="Arial"/>
          <w:noProof/>
          <w:sz w:val="28"/>
          <w:szCs w:val="28"/>
        </w:rPr>
      </w:pPr>
      <w:r w:rsidRPr="00CE582B">
        <w:rPr>
          <w:rFonts w:eastAsia="Calibri" w:cs="Arial"/>
          <w:noProof/>
          <w:sz w:val="28"/>
          <w:szCs w:val="28"/>
        </w:rPr>
        <w:t>Reputation and brand</w:t>
      </w:r>
    </w:p>
    <w:p w14:paraId="4DCC280F" w14:textId="77777777" w:rsidR="00CE582B" w:rsidRDefault="00484CF9" w:rsidP="00CE582B">
      <w:pPr>
        <w:numPr>
          <w:ilvl w:val="0"/>
          <w:numId w:val="2"/>
        </w:numPr>
        <w:spacing w:line="240" w:lineRule="auto"/>
        <w:rPr>
          <w:rFonts w:eastAsia="Calibri" w:cs="Arial"/>
          <w:noProof/>
          <w:sz w:val="28"/>
          <w:szCs w:val="28"/>
        </w:rPr>
      </w:pPr>
      <w:r>
        <w:rPr>
          <w:rFonts w:eastAsia="Calibri" w:cs="Arial"/>
          <w:noProof/>
          <w:sz w:val="28"/>
          <w:szCs w:val="28"/>
        </w:rPr>
        <w:t>Site Security</w:t>
      </w:r>
    </w:p>
    <w:p w14:paraId="2C299800" w14:textId="77777777" w:rsidR="00CE582B" w:rsidRDefault="00484CF9" w:rsidP="003E59E3">
      <w:pPr>
        <w:numPr>
          <w:ilvl w:val="0"/>
          <w:numId w:val="2"/>
        </w:numPr>
        <w:spacing w:line="240" w:lineRule="auto"/>
        <w:rPr>
          <w:rFonts w:eastAsia="Calibri" w:cs="Arial"/>
          <w:noProof/>
          <w:sz w:val="28"/>
          <w:szCs w:val="28"/>
        </w:rPr>
      </w:pPr>
      <w:r>
        <w:rPr>
          <w:rFonts w:eastAsia="Calibri" w:cs="Arial"/>
          <w:noProof/>
          <w:sz w:val="28"/>
          <w:szCs w:val="28"/>
        </w:rPr>
        <w:t>National Terrorism Risk Level</w:t>
      </w:r>
    </w:p>
    <w:p w14:paraId="52B8F597" w14:textId="77777777" w:rsidR="00563643" w:rsidRDefault="00563643" w:rsidP="00563643">
      <w:pPr>
        <w:spacing w:line="240" w:lineRule="auto"/>
        <w:ind w:left="720"/>
        <w:rPr>
          <w:rFonts w:eastAsia="Calibri" w:cs="Arial"/>
          <w:noProof/>
          <w:sz w:val="28"/>
          <w:szCs w:val="28"/>
        </w:rPr>
      </w:pPr>
    </w:p>
    <w:p w14:paraId="1CB28789" w14:textId="77777777" w:rsidR="00563643" w:rsidRDefault="00563643" w:rsidP="00563643">
      <w:pPr>
        <w:spacing w:line="240" w:lineRule="auto"/>
        <w:ind w:left="720"/>
        <w:rPr>
          <w:rFonts w:eastAsia="Calibri" w:cs="Arial"/>
          <w:noProof/>
          <w:sz w:val="28"/>
          <w:szCs w:val="28"/>
        </w:rPr>
      </w:pPr>
    </w:p>
    <w:p w14:paraId="080658E8" w14:textId="77777777" w:rsidR="00563643" w:rsidRDefault="00563643" w:rsidP="00563643">
      <w:pPr>
        <w:spacing w:line="240" w:lineRule="auto"/>
        <w:ind w:left="720"/>
        <w:rPr>
          <w:rFonts w:eastAsia="Calibri" w:cs="Arial"/>
          <w:noProof/>
          <w:sz w:val="28"/>
          <w:szCs w:val="28"/>
        </w:rPr>
      </w:pPr>
    </w:p>
    <w:p w14:paraId="768D705A" w14:textId="77777777" w:rsidR="00563643" w:rsidRDefault="00563643" w:rsidP="00563643">
      <w:pPr>
        <w:spacing w:line="240" w:lineRule="auto"/>
        <w:ind w:left="720"/>
        <w:rPr>
          <w:rFonts w:eastAsia="Calibri" w:cs="Arial"/>
          <w:noProof/>
          <w:sz w:val="28"/>
          <w:szCs w:val="28"/>
        </w:rPr>
      </w:pPr>
    </w:p>
    <w:p w14:paraId="2B1C361E" w14:textId="77777777" w:rsidR="00563643" w:rsidRDefault="00563643" w:rsidP="00563643">
      <w:pPr>
        <w:spacing w:line="240" w:lineRule="auto"/>
        <w:ind w:left="720"/>
        <w:rPr>
          <w:rFonts w:eastAsia="Calibri" w:cs="Arial"/>
          <w:noProof/>
          <w:sz w:val="28"/>
          <w:szCs w:val="28"/>
        </w:rPr>
      </w:pPr>
    </w:p>
    <w:p w14:paraId="7454D577" w14:textId="77777777" w:rsidR="00563643" w:rsidRDefault="00563643" w:rsidP="00563643">
      <w:pPr>
        <w:spacing w:line="240" w:lineRule="auto"/>
        <w:ind w:left="720"/>
        <w:rPr>
          <w:rFonts w:eastAsia="Calibri" w:cs="Arial"/>
          <w:noProof/>
          <w:sz w:val="28"/>
          <w:szCs w:val="28"/>
        </w:rPr>
      </w:pPr>
    </w:p>
    <w:p w14:paraId="758E3BC0" w14:textId="77777777" w:rsidR="00563643" w:rsidRPr="003E59E3" w:rsidRDefault="00563643" w:rsidP="00563643">
      <w:pPr>
        <w:spacing w:line="240" w:lineRule="auto"/>
        <w:ind w:left="720"/>
        <w:rPr>
          <w:rFonts w:eastAsia="Calibri" w:cs="Arial"/>
          <w:noProof/>
          <w:sz w:val="28"/>
          <w:szCs w:val="28"/>
        </w:rPr>
      </w:pPr>
    </w:p>
    <w:p w14:paraId="6C9728F6" w14:textId="77777777" w:rsidR="00DA06B2" w:rsidRDefault="00DA06B2">
      <w:r>
        <w:t>Risk Scoring</w:t>
      </w:r>
    </w:p>
    <w:p w14:paraId="7E0B5B13" w14:textId="77777777" w:rsidR="00DA06B2" w:rsidRDefault="00DA06B2"/>
    <w:tbl>
      <w:tblPr>
        <w:tblStyle w:val="TableGrid"/>
        <w:tblW w:w="0" w:type="auto"/>
        <w:tblLook w:val="04A0" w:firstRow="1" w:lastRow="0" w:firstColumn="1" w:lastColumn="0" w:noHBand="0" w:noVBand="1"/>
      </w:tblPr>
      <w:tblGrid>
        <w:gridCol w:w="1838"/>
        <w:gridCol w:w="709"/>
        <w:gridCol w:w="1984"/>
        <w:gridCol w:w="1134"/>
      </w:tblGrid>
      <w:tr w:rsidR="00DA06B2" w14:paraId="79BCC5D6" w14:textId="77777777" w:rsidTr="00770DD8">
        <w:tc>
          <w:tcPr>
            <w:tcW w:w="1838" w:type="dxa"/>
            <w:shd w:val="clear" w:color="auto" w:fill="262626" w:themeFill="text1" w:themeFillTint="D9"/>
          </w:tcPr>
          <w:p w14:paraId="14B1F5E5" w14:textId="77777777" w:rsidR="00DA06B2" w:rsidRDefault="00770DD8">
            <w:r>
              <w:t>Likelihood</w:t>
            </w:r>
          </w:p>
        </w:tc>
        <w:tc>
          <w:tcPr>
            <w:tcW w:w="709" w:type="dxa"/>
            <w:shd w:val="clear" w:color="auto" w:fill="262626" w:themeFill="text1" w:themeFillTint="D9"/>
          </w:tcPr>
          <w:p w14:paraId="0A330DC3" w14:textId="77777777" w:rsidR="00DA06B2" w:rsidRDefault="00DA06B2"/>
        </w:tc>
        <w:tc>
          <w:tcPr>
            <w:tcW w:w="1984" w:type="dxa"/>
            <w:shd w:val="clear" w:color="auto" w:fill="262626" w:themeFill="text1" w:themeFillTint="D9"/>
          </w:tcPr>
          <w:p w14:paraId="63A3B4D3" w14:textId="77777777" w:rsidR="00DA06B2" w:rsidRDefault="00770DD8">
            <w:r>
              <w:t>Severity</w:t>
            </w:r>
          </w:p>
        </w:tc>
        <w:tc>
          <w:tcPr>
            <w:tcW w:w="1134" w:type="dxa"/>
            <w:shd w:val="clear" w:color="auto" w:fill="262626" w:themeFill="text1" w:themeFillTint="D9"/>
          </w:tcPr>
          <w:p w14:paraId="1A5CEB54" w14:textId="77777777" w:rsidR="00DA06B2" w:rsidRDefault="00DA06B2"/>
        </w:tc>
      </w:tr>
      <w:tr w:rsidR="00DA06B2" w14:paraId="5CD9DF56" w14:textId="77777777" w:rsidTr="00770DD8">
        <w:tc>
          <w:tcPr>
            <w:tcW w:w="1838" w:type="dxa"/>
          </w:tcPr>
          <w:p w14:paraId="59FE9827" w14:textId="77777777" w:rsidR="00DA06B2" w:rsidRDefault="00770DD8">
            <w:r>
              <w:t>Almost certain</w:t>
            </w:r>
          </w:p>
        </w:tc>
        <w:tc>
          <w:tcPr>
            <w:tcW w:w="709" w:type="dxa"/>
          </w:tcPr>
          <w:p w14:paraId="17200249" w14:textId="77777777" w:rsidR="00DA06B2" w:rsidRDefault="003E59E3">
            <w:r>
              <w:t>5</w:t>
            </w:r>
          </w:p>
        </w:tc>
        <w:tc>
          <w:tcPr>
            <w:tcW w:w="1984" w:type="dxa"/>
          </w:tcPr>
          <w:p w14:paraId="4204767F" w14:textId="77777777" w:rsidR="00DA06B2" w:rsidRDefault="00770DD8">
            <w:r>
              <w:t>Catastrophic</w:t>
            </w:r>
          </w:p>
        </w:tc>
        <w:tc>
          <w:tcPr>
            <w:tcW w:w="1134" w:type="dxa"/>
          </w:tcPr>
          <w:p w14:paraId="4042C705" w14:textId="77777777" w:rsidR="00DA06B2" w:rsidRDefault="003E59E3">
            <w:r>
              <w:t>5</w:t>
            </w:r>
          </w:p>
        </w:tc>
      </w:tr>
      <w:tr w:rsidR="00DA06B2" w14:paraId="54D3762D" w14:textId="77777777" w:rsidTr="00770DD8">
        <w:trPr>
          <w:trHeight w:val="234"/>
        </w:trPr>
        <w:tc>
          <w:tcPr>
            <w:tcW w:w="1838" w:type="dxa"/>
          </w:tcPr>
          <w:p w14:paraId="2D59BBE3" w14:textId="77777777" w:rsidR="00DA06B2" w:rsidRDefault="00770DD8">
            <w:r>
              <w:t>Very Likely</w:t>
            </w:r>
          </w:p>
        </w:tc>
        <w:tc>
          <w:tcPr>
            <w:tcW w:w="709" w:type="dxa"/>
          </w:tcPr>
          <w:p w14:paraId="6689BE8A" w14:textId="77777777" w:rsidR="00DA06B2" w:rsidRDefault="003E59E3">
            <w:r>
              <w:t>4</w:t>
            </w:r>
          </w:p>
        </w:tc>
        <w:tc>
          <w:tcPr>
            <w:tcW w:w="1984" w:type="dxa"/>
          </w:tcPr>
          <w:p w14:paraId="4D5FB47C" w14:textId="77777777" w:rsidR="00DA06B2" w:rsidRDefault="00770DD8">
            <w:r>
              <w:t>Major</w:t>
            </w:r>
          </w:p>
        </w:tc>
        <w:tc>
          <w:tcPr>
            <w:tcW w:w="1134" w:type="dxa"/>
          </w:tcPr>
          <w:p w14:paraId="6B9BD8A7" w14:textId="77777777" w:rsidR="00DA06B2" w:rsidRDefault="003E59E3">
            <w:r>
              <w:t>4</w:t>
            </w:r>
          </w:p>
        </w:tc>
      </w:tr>
      <w:tr w:rsidR="00DA06B2" w14:paraId="4930B3AD" w14:textId="77777777" w:rsidTr="00770DD8">
        <w:tc>
          <w:tcPr>
            <w:tcW w:w="1838" w:type="dxa"/>
          </w:tcPr>
          <w:p w14:paraId="4F6991C2" w14:textId="77777777" w:rsidR="00DA06B2" w:rsidRDefault="00770DD8">
            <w:r>
              <w:t>Likely</w:t>
            </w:r>
          </w:p>
        </w:tc>
        <w:tc>
          <w:tcPr>
            <w:tcW w:w="709" w:type="dxa"/>
          </w:tcPr>
          <w:p w14:paraId="2009B185" w14:textId="77777777" w:rsidR="00DA06B2" w:rsidRDefault="003E59E3">
            <w:r>
              <w:t>3</w:t>
            </w:r>
          </w:p>
        </w:tc>
        <w:tc>
          <w:tcPr>
            <w:tcW w:w="1984" w:type="dxa"/>
          </w:tcPr>
          <w:p w14:paraId="2EEC0054" w14:textId="77777777" w:rsidR="00DA06B2" w:rsidRDefault="00770DD8">
            <w:r>
              <w:t>Moderate</w:t>
            </w:r>
          </w:p>
        </w:tc>
        <w:tc>
          <w:tcPr>
            <w:tcW w:w="1134" w:type="dxa"/>
          </w:tcPr>
          <w:p w14:paraId="2ED55528" w14:textId="77777777" w:rsidR="00DA06B2" w:rsidRDefault="003E59E3">
            <w:r>
              <w:t>3</w:t>
            </w:r>
          </w:p>
        </w:tc>
      </w:tr>
      <w:tr w:rsidR="00DA06B2" w14:paraId="7515E2F4" w14:textId="77777777" w:rsidTr="00770DD8">
        <w:tc>
          <w:tcPr>
            <w:tcW w:w="1838" w:type="dxa"/>
          </w:tcPr>
          <w:p w14:paraId="6C69CD03" w14:textId="77777777" w:rsidR="00DA06B2" w:rsidRDefault="00770DD8">
            <w:r>
              <w:t>Unlikely</w:t>
            </w:r>
          </w:p>
        </w:tc>
        <w:tc>
          <w:tcPr>
            <w:tcW w:w="709" w:type="dxa"/>
          </w:tcPr>
          <w:p w14:paraId="31EACBC6" w14:textId="77777777" w:rsidR="00DA06B2" w:rsidRDefault="003E59E3">
            <w:r>
              <w:t>2</w:t>
            </w:r>
          </w:p>
        </w:tc>
        <w:tc>
          <w:tcPr>
            <w:tcW w:w="1984" w:type="dxa"/>
          </w:tcPr>
          <w:p w14:paraId="17984320" w14:textId="77777777" w:rsidR="00DA06B2" w:rsidRDefault="00770DD8">
            <w:r>
              <w:t>Minor</w:t>
            </w:r>
          </w:p>
        </w:tc>
        <w:tc>
          <w:tcPr>
            <w:tcW w:w="1134" w:type="dxa"/>
          </w:tcPr>
          <w:p w14:paraId="4753CE15" w14:textId="77777777" w:rsidR="00DA06B2" w:rsidRDefault="003E59E3">
            <w:r>
              <w:t>2</w:t>
            </w:r>
          </w:p>
        </w:tc>
      </w:tr>
      <w:tr w:rsidR="00DA06B2" w14:paraId="496660AA" w14:textId="77777777" w:rsidTr="00770DD8">
        <w:tc>
          <w:tcPr>
            <w:tcW w:w="1838" w:type="dxa"/>
          </w:tcPr>
          <w:p w14:paraId="63B096FC" w14:textId="77777777" w:rsidR="00DA06B2" w:rsidRDefault="00770DD8">
            <w:r>
              <w:t>Improbable</w:t>
            </w:r>
          </w:p>
        </w:tc>
        <w:tc>
          <w:tcPr>
            <w:tcW w:w="709" w:type="dxa"/>
          </w:tcPr>
          <w:p w14:paraId="089D3491" w14:textId="77777777" w:rsidR="00DA06B2" w:rsidRDefault="003E59E3">
            <w:r>
              <w:t>1</w:t>
            </w:r>
          </w:p>
        </w:tc>
        <w:tc>
          <w:tcPr>
            <w:tcW w:w="1984" w:type="dxa"/>
          </w:tcPr>
          <w:p w14:paraId="11F64B30" w14:textId="77777777" w:rsidR="00DA06B2" w:rsidRDefault="00770DD8">
            <w:r>
              <w:t>None/Trivial</w:t>
            </w:r>
          </w:p>
        </w:tc>
        <w:tc>
          <w:tcPr>
            <w:tcW w:w="1134" w:type="dxa"/>
          </w:tcPr>
          <w:p w14:paraId="30AF1FDE" w14:textId="77777777" w:rsidR="00DA06B2" w:rsidRDefault="003E59E3">
            <w:r>
              <w:t>1</w:t>
            </w:r>
          </w:p>
        </w:tc>
      </w:tr>
    </w:tbl>
    <w:p w14:paraId="77972B80" w14:textId="77777777" w:rsidR="00DA06B2" w:rsidRDefault="00DA06B2"/>
    <w:p w14:paraId="7D6CD438" w14:textId="77777777" w:rsidR="00DA06B2" w:rsidRDefault="00DA06B2"/>
    <w:tbl>
      <w:tblPr>
        <w:tblStyle w:val="TableGrid"/>
        <w:tblW w:w="0" w:type="auto"/>
        <w:tblLook w:val="04A0" w:firstRow="1" w:lastRow="0" w:firstColumn="1" w:lastColumn="0" w:noHBand="0" w:noVBand="1"/>
      </w:tblPr>
      <w:tblGrid>
        <w:gridCol w:w="546"/>
        <w:gridCol w:w="1820"/>
        <w:gridCol w:w="3158"/>
        <w:gridCol w:w="1011"/>
        <w:gridCol w:w="2674"/>
        <w:gridCol w:w="1364"/>
        <w:gridCol w:w="3089"/>
        <w:gridCol w:w="1337"/>
      </w:tblGrid>
      <w:tr w:rsidR="00BD4614" w14:paraId="63999B72" w14:textId="77777777" w:rsidTr="004B5741">
        <w:tc>
          <w:tcPr>
            <w:tcW w:w="546" w:type="dxa"/>
          </w:tcPr>
          <w:p w14:paraId="531658F6" w14:textId="77777777" w:rsidR="00BD4614" w:rsidRDefault="00BD4614">
            <w:r>
              <w:t>No</w:t>
            </w:r>
          </w:p>
        </w:tc>
        <w:tc>
          <w:tcPr>
            <w:tcW w:w="1820" w:type="dxa"/>
          </w:tcPr>
          <w:p w14:paraId="1B5FAF82" w14:textId="77777777" w:rsidR="00BD4614" w:rsidRDefault="00BD4614">
            <w:r>
              <w:t>Risk Title</w:t>
            </w:r>
          </w:p>
        </w:tc>
        <w:tc>
          <w:tcPr>
            <w:tcW w:w="3158" w:type="dxa"/>
          </w:tcPr>
          <w:p w14:paraId="40DCD569" w14:textId="77777777" w:rsidR="00BD4614" w:rsidRDefault="00BD4614">
            <w:r>
              <w:t>Summary of Risk</w:t>
            </w:r>
          </w:p>
        </w:tc>
        <w:tc>
          <w:tcPr>
            <w:tcW w:w="1011" w:type="dxa"/>
          </w:tcPr>
          <w:p w14:paraId="72F3E60C" w14:textId="77777777" w:rsidR="00BD4614" w:rsidRDefault="00BD4614">
            <w:r>
              <w:t>Gross score</w:t>
            </w:r>
          </w:p>
        </w:tc>
        <w:tc>
          <w:tcPr>
            <w:tcW w:w="2674" w:type="dxa"/>
          </w:tcPr>
          <w:p w14:paraId="11CD5073" w14:textId="77777777" w:rsidR="00BD4614" w:rsidRDefault="00BD4614">
            <w:r>
              <w:t>Existing controls</w:t>
            </w:r>
          </w:p>
        </w:tc>
        <w:tc>
          <w:tcPr>
            <w:tcW w:w="1364" w:type="dxa"/>
          </w:tcPr>
          <w:p w14:paraId="0C940972" w14:textId="77777777" w:rsidR="00BD4614" w:rsidRDefault="00BD4614">
            <w:r>
              <w:t>Remaining score</w:t>
            </w:r>
          </w:p>
        </w:tc>
        <w:tc>
          <w:tcPr>
            <w:tcW w:w="3089" w:type="dxa"/>
          </w:tcPr>
          <w:p w14:paraId="263B20B3" w14:textId="77777777" w:rsidR="00BD4614" w:rsidRDefault="00BD4614">
            <w:r>
              <w:t>Action needed</w:t>
            </w:r>
          </w:p>
        </w:tc>
        <w:tc>
          <w:tcPr>
            <w:tcW w:w="1337" w:type="dxa"/>
          </w:tcPr>
          <w:p w14:paraId="4562350A" w14:textId="77777777" w:rsidR="00BD4614" w:rsidRDefault="005D0F47">
            <w:r>
              <w:t>progress</w:t>
            </w:r>
          </w:p>
        </w:tc>
      </w:tr>
      <w:tr w:rsidR="00BD4614" w14:paraId="483F4C24" w14:textId="77777777" w:rsidTr="00C106B2">
        <w:tc>
          <w:tcPr>
            <w:tcW w:w="546" w:type="dxa"/>
          </w:tcPr>
          <w:p w14:paraId="16ED43F3" w14:textId="77777777" w:rsidR="00BD4614" w:rsidRDefault="00BD4614" w:rsidP="003E59E3">
            <w:r>
              <w:t>1</w:t>
            </w:r>
          </w:p>
        </w:tc>
        <w:tc>
          <w:tcPr>
            <w:tcW w:w="1820" w:type="dxa"/>
          </w:tcPr>
          <w:p w14:paraId="27548B75" w14:textId="77777777" w:rsidR="00BD4614" w:rsidRDefault="00BD4614" w:rsidP="003E59E3">
            <w:r>
              <w:t>Leadership</w:t>
            </w:r>
          </w:p>
        </w:tc>
        <w:tc>
          <w:tcPr>
            <w:tcW w:w="3158" w:type="dxa"/>
          </w:tcPr>
          <w:p w14:paraId="7176DA99" w14:textId="77777777" w:rsidR="00BD4614" w:rsidRDefault="00BD4614" w:rsidP="005F22A4">
            <w:pPr>
              <w:contextualSpacing/>
            </w:pPr>
          </w:p>
        </w:tc>
        <w:tc>
          <w:tcPr>
            <w:tcW w:w="1011" w:type="dxa"/>
          </w:tcPr>
          <w:p w14:paraId="77AD0A47" w14:textId="77777777" w:rsidR="00BD4614" w:rsidRDefault="00BD4614" w:rsidP="003E59E3"/>
        </w:tc>
        <w:tc>
          <w:tcPr>
            <w:tcW w:w="2674" w:type="dxa"/>
          </w:tcPr>
          <w:p w14:paraId="447038CF" w14:textId="77777777" w:rsidR="00563643" w:rsidRDefault="00563643" w:rsidP="00563643"/>
        </w:tc>
        <w:tc>
          <w:tcPr>
            <w:tcW w:w="1364" w:type="dxa"/>
          </w:tcPr>
          <w:p w14:paraId="20403026" w14:textId="77777777" w:rsidR="00BD4614" w:rsidRDefault="00BD4614" w:rsidP="003E59E3"/>
        </w:tc>
        <w:tc>
          <w:tcPr>
            <w:tcW w:w="3089" w:type="dxa"/>
          </w:tcPr>
          <w:p w14:paraId="5983D834" w14:textId="77777777" w:rsidR="00F72032" w:rsidRDefault="00F72032" w:rsidP="005F22A4"/>
        </w:tc>
        <w:tc>
          <w:tcPr>
            <w:tcW w:w="1337" w:type="dxa"/>
            <w:shd w:val="clear" w:color="auto" w:fill="92D050"/>
          </w:tcPr>
          <w:p w14:paraId="320A17C9" w14:textId="77777777" w:rsidR="00BD4614" w:rsidRPr="00054225" w:rsidRDefault="00BD4614" w:rsidP="003E59E3">
            <w:pPr>
              <w:rPr>
                <w:rFonts w:eastAsia="Times" w:cs="Arial"/>
                <w:noProof/>
                <w:szCs w:val="24"/>
              </w:rPr>
            </w:pPr>
          </w:p>
        </w:tc>
      </w:tr>
      <w:tr w:rsidR="005F22A4" w14:paraId="0E6C5C3A" w14:textId="77777777" w:rsidTr="004B5741">
        <w:tc>
          <w:tcPr>
            <w:tcW w:w="546" w:type="dxa"/>
          </w:tcPr>
          <w:p w14:paraId="3F58DDEA" w14:textId="77777777" w:rsidR="005F22A4" w:rsidRDefault="005F22A4" w:rsidP="003E59E3"/>
        </w:tc>
        <w:tc>
          <w:tcPr>
            <w:tcW w:w="1820" w:type="dxa"/>
          </w:tcPr>
          <w:p w14:paraId="4F4635DF" w14:textId="77777777" w:rsidR="005F22A4" w:rsidRDefault="005F22A4" w:rsidP="003E59E3"/>
        </w:tc>
        <w:tc>
          <w:tcPr>
            <w:tcW w:w="3158" w:type="dxa"/>
          </w:tcPr>
          <w:p w14:paraId="538D7A03" w14:textId="77777777" w:rsidR="005F22A4" w:rsidRPr="003E59E3" w:rsidRDefault="005F22A4" w:rsidP="003E59E3">
            <w:pPr>
              <w:rPr>
                <w:rFonts w:cs="Arial"/>
                <w:b/>
                <w:bCs/>
                <w:szCs w:val="24"/>
              </w:rPr>
            </w:pPr>
          </w:p>
        </w:tc>
        <w:tc>
          <w:tcPr>
            <w:tcW w:w="1011" w:type="dxa"/>
          </w:tcPr>
          <w:p w14:paraId="758EA24C" w14:textId="77777777" w:rsidR="00180E25" w:rsidRDefault="00180E25" w:rsidP="003E59E3"/>
        </w:tc>
        <w:tc>
          <w:tcPr>
            <w:tcW w:w="2674" w:type="dxa"/>
          </w:tcPr>
          <w:p w14:paraId="7BF53C4F" w14:textId="77777777" w:rsidR="005F22A4" w:rsidRPr="00054225" w:rsidRDefault="005F22A4" w:rsidP="003E59E3">
            <w:pPr>
              <w:rPr>
                <w:rFonts w:eastAsia="Times" w:cs="Arial"/>
                <w:noProof/>
                <w:szCs w:val="24"/>
              </w:rPr>
            </w:pPr>
          </w:p>
        </w:tc>
        <w:tc>
          <w:tcPr>
            <w:tcW w:w="1364" w:type="dxa"/>
          </w:tcPr>
          <w:p w14:paraId="0A17A8E6" w14:textId="77777777" w:rsidR="00360EA8" w:rsidRDefault="00360EA8" w:rsidP="003E59E3"/>
        </w:tc>
        <w:tc>
          <w:tcPr>
            <w:tcW w:w="3089" w:type="dxa"/>
          </w:tcPr>
          <w:p w14:paraId="48B73F52" w14:textId="77777777" w:rsidR="005F22A4" w:rsidRPr="00054225" w:rsidRDefault="005F22A4" w:rsidP="003E59E3">
            <w:pPr>
              <w:rPr>
                <w:rFonts w:eastAsia="Times" w:cs="Arial"/>
                <w:noProof/>
                <w:szCs w:val="24"/>
              </w:rPr>
            </w:pPr>
          </w:p>
        </w:tc>
        <w:tc>
          <w:tcPr>
            <w:tcW w:w="1337" w:type="dxa"/>
            <w:shd w:val="clear" w:color="auto" w:fill="FFC000"/>
          </w:tcPr>
          <w:p w14:paraId="3904F65F" w14:textId="77777777" w:rsidR="005F22A4" w:rsidRPr="00054225" w:rsidRDefault="005F22A4" w:rsidP="003E59E3">
            <w:pPr>
              <w:rPr>
                <w:rFonts w:eastAsia="Times" w:cs="Arial"/>
                <w:noProof/>
                <w:szCs w:val="24"/>
              </w:rPr>
            </w:pPr>
          </w:p>
        </w:tc>
      </w:tr>
      <w:tr w:rsidR="00975384" w14:paraId="4C2423B1" w14:textId="77777777" w:rsidTr="004B5741">
        <w:tc>
          <w:tcPr>
            <w:tcW w:w="546" w:type="dxa"/>
          </w:tcPr>
          <w:p w14:paraId="6E1ADC02" w14:textId="77777777" w:rsidR="00975384" w:rsidRDefault="00975384" w:rsidP="003E59E3"/>
        </w:tc>
        <w:tc>
          <w:tcPr>
            <w:tcW w:w="1820" w:type="dxa"/>
          </w:tcPr>
          <w:p w14:paraId="177728BF" w14:textId="77777777" w:rsidR="00975384" w:rsidRDefault="00975384" w:rsidP="003E59E3"/>
        </w:tc>
        <w:tc>
          <w:tcPr>
            <w:tcW w:w="3158" w:type="dxa"/>
          </w:tcPr>
          <w:p w14:paraId="5162F024" w14:textId="77777777" w:rsidR="00975384" w:rsidRPr="003E59E3" w:rsidRDefault="00975384" w:rsidP="00FE7D38">
            <w:pPr>
              <w:contextualSpacing/>
              <w:rPr>
                <w:rFonts w:cs="Arial"/>
                <w:b/>
                <w:bCs/>
                <w:szCs w:val="24"/>
              </w:rPr>
            </w:pPr>
          </w:p>
        </w:tc>
        <w:tc>
          <w:tcPr>
            <w:tcW w:w="1011" w:type="dxa"/>
          </w:tcPr>
          <w:p w14:paraId="5BA37D3A" w14:textId="77777777" w:rsidR="008A693D" w:rsidRDefault="008A693D" w:rsidP="003E59E3"/>
        </w:tc>
        <w:tc>
          <w:tcPr>
            <w:tcW w:w="2674" w:type="dxa"/>
          </w:tcPr>
          <w:p w14:paraId="2A080658" w14:textId="77777777" w:rsidR="00975384" w:rsidRPr="00054225" w:rsidRDefault="00975384" w:rsidP="005F22A4">
            <w:pPr>
              <w:rPr>
                <w:rFonts w:eastAsia="Times" w:cs="Arial"/>
                <w:noProof/>
                <w:szCs w:val="24"/>
              </w:rPr>
            </w:pPr>
          </w:p>
        </w:tc>
        <w:tc>
          <w:tcPr>
            <w:tcW w:w="1364" w:type="dxa"/>
          </w:tcPr>
          <w:p w14:paraId="10E82381" w14:textId="77777777" w:rsidR="00CD010F" w:rsidRDefault="00CD010F" w:rsidP="003E59E3"/>
        </w:tc>
        <w:tc>
          <w:tcPr>
            <w:tcW w:w="3089" w:type="dxa"/>
          </w:tcPr>
          <w:p w14:paraId="34A6D4EB" w14:textId="77777777" w:rsidR="00975384" w:rsidRPr="00054225" w:rsidRDefault="00975384" w:rsidP="003E59E3">
            <w:pPr>
              <w:rPr>
                <w:rFonts w:eastAsia="Times" w:cs="Arial"/>
                <w:noProof/>
                <w:szCs w:val="24"/>
              </w:rPr>
            </w:pPr>
          </w:p>
        </w:tc>
        <w:tc>
          <w:tcPr>
            <w:tcW w:w="1337" w:type="dxa"/>
            <w:shd w:val="clear" w:color="auto" w:fill="FF0000"/>
          </w:tcPr>
          <w:p w14:paraId="7F431907" w14:textId="77777777" w:rsidR="00DE233F" w:rsidRPr="00054225" w:rsidRDefault="00DE233F" w:rsidP="003E59E3">
            <w:pPr>
              <w:rPr>
                <w:rFonts w:eastAsia="Times" w:cs="Arial"/>
                <w:noProof/>
                <w:szCs w:val="24"/>
              </w:rPr>
            </w:pPr>
          </w:p>
        </w:tc>
      </w:tr>
      <w:tr w:rsidR="00BD4614" w14:paraId="14679D46" w14:textId="77777777" w:rsidTr="004B5741">
        <w:trPr>
          <w:trHeight w:val="2117"/>
        </w:trPr>
        <w:tc>
          <w:tcPr>
            <w:tcW w:w="546" w:type="dxa"/>
          </w:tcPr>
          <w:p w14:paraId="217A2AC6" w14:textId="77777777" w:rsidR="00BD4614" w:rsidRDefault="00BD4614" w:rsidP="003E59E3">
            <w:r>
              <w:t xml:space="preserve">2 </w:t>
            </w:r>
          </w:p>
        </w:tc>
        <w:tc>
          <w:tcPr>
            <w:tcW w:w="1820" w:type="dxa"/>
          </w:tcPr>
          <w:p w14:paraId="66C7AFDD" w14:textId="77777777" w:rsidR="00BD4614" w:rsidRDefault="00BD4614" w:rsidP="003E59E3">
            <w:r>
              <w:t>Partnerships</w:t>
            </w:r>
          </w:p>
        </w:tc>
        <w:tc>
          <w:tcPr>
            <w:tcW w:w="3158" w:type="dxa"/>
          </w:tcPr>
          <w:p w14:paraId="15B2AB7F" w14:textId="77777777" w:rsidR="00BD4614" w:rsidRDefault="00BD4614" w:rsidP="000E6182">
            <w:pPr>
              <w:ind w:left="284"/>
              <w:contextualSpacing/>
            </w:pPr>
          </w:p>
        </w:tc>
        <w:tc>
          <w:tcPr>
            <w:tcW w:w="1011" w:type="dxa"/>
          </w:tcPr>
          <w:p w14:paraId="0269E46F" w14:textId="77777777" w:rsidR="00BD4614" w:rsidRDefault="00BD4614" w:rsidP="003E59E3"/>
        </w:tc>
        <w:tc>
          <w:tcPr>
            <w:tcW w:w="2674" w:type="dxa"/>
          </w:tcPr>
          <w:p w14:paraId="336D19C4" w14:textId="77777777" w:rsidR="00BD4614" w:rsidRDefault="00BD4614" w:rsidP="003E59E3"/>
        </w:tc>
        <w:tc>
          <w:tcPr>
            <w:tcW w:w="1364" w:type="dxa"/>
          </w:tcPr>
          <w:p w14:paraId="7B824AD2" w14:textId="77777777" w:rsidR="00BD4614" w:rsidRDefault="00BD4614" w:rsidP="003E59E3"/>
        </w:tc>
        <w:tc>
          <w:tcPr>
            <w:tcW w:w="3089" w:type="dxa"/>
          </w:tcPr>
          <w:p w14:paraId="507D4A3B" w14:textId="77777777" w:rsidR="00BD4614" w:rsidRDefault="00BD4614" w:rsidP="003E59E3"/>
        </w:tc>
        <w:tc>
          <w:tcPr>
            <w:tcW w:w="1337" w:type="dxa"/>
            <w:shd w:val="clear" w:color="auto" w:fill="92D050"/>
          </w:tcPr>
          <w:p w14:paraId="7195A1A8" w14:textId="77777777" w:rsidR="00BD4614" w:rsidRDefault="00BD4614" w:rsidP="003E59E3"/>
        </w:tc>
      </w:tr>
      <w:tr w:rsidR="00BD4614" w14:paraId="5D218541" w14:textId="77777777" w:rsidTr="004B5741">
        <w:tc>
          <w:tcPr>
            <w:tcW w:w="546" w:type="dxa"/>
          </w:tcPr>
          <w:p w14:paraId="660947FD" w14:textId="77777777" w:rsidR="00BD4614" w:rsidRDefault="00BD4614" w:rsidP="003E59E3">
            <w:r>
              <w:t>3</w:t>
            </w:r>
          </w:p>
        </w:tc>
        <w:tc>
          <w:tcPr>
            <w:tcW w:w="1820" w:type="dxa"/>
          </w:tcPr>
          <w:p w14:paraId="0D1BB2A5" w14:textId="77777777" w:rsidR="00BD4614" w:rsidRDefault="00BD4614" w:rsidP="003E59E3">
            <w:r>
              <w:t>Staff Training and Awareness</w:t>
            </w:r>
          </w:p>
        </w:tc>
        <w:tc>
          <w:tcPr>
            <w:tcW w:w="3158" w:type="dxa"/>
          </w:tcPr>
          <w:p w14:paraId="7AA10F79" w14:textId="77777777" w:rsidR="00BD4614" w:rsidRDefault="00BD4614" w:rsidP="003E59E3"/>
        </w:tc>
        <w:tc>
          <w:tcPr>
            <w:tcW w:w="1011" w:type="dxa"/>
          </w:tcPr>
          <w:p w14:paraId="0FDB8341" w14:textId="77777777" w:rsidR="009A0F98" w:rsidRDefault="009A0F98" w:rsidP="003E59E3"/>
        </w:tc>
        <w:tc>
          <w:tcPr>
            <w:tcW w:w="2674" w:type="dxa"/>
          </w:tcPr>
          <w:p w14:paraId="73471679" w14:textId="77777777" w:rsidR="006836D1" w:rsidRDefault="006836D1" w:rsidP="003E59E3"/>
        </w:tc>
        <w:tc>
          <w:tcPr>
            <w:tcW w:w="1364" w:type="dxa"/>
          </w:tcPr>
          <w:p w14:paraId="09361333" w14:textId="77777777" w:rsidR="00E63414" w:rsidRDefault="00E63414" w:rsidP="003E59E3"/>
        </w:tc>
        <w:tc>
          <w:tcPr>
            <w:tcW w:w="3089" w:type="dxa"/>
          </w:tcPr>
          <w:p w14:paraId="7A8B4D16" w14:textId="77777777" w:rsidR="007F4BCD" w:rsidRPr="00472CB5" w:rsidRDefault="007F4BCD" w:rsidP="003E59E3"/>
        </w:tc>
        <w:tc>
          <w:tcPr>
            <w:tcW w:w="1337" w:type="dxa"/>
            <w:shd w:val="clear" w:color="auto" w:fill="FFC000"/>
          </w:tcPr>
          <w:p w14:paraId="4D1942B9" w14:textId="77777777" w:rsidR="00BD4614" w:rsidRDefault="00BD4614" w:rsidP="003E59E3"/>
        </w:tc>
      </w:tr>
      <w:tr w:rsidR="00EB4F0C" w14:paraId="06784219" w14:textId="77777777" w:rsidTr="004B5741">
        <w:tc>
          <w:tcPr>
            <w:tcW w:w="546" w:type="dxa"/>
          </w:tcPr>
          <w:p w14:paraId="6A01E47B" w14:textId="77777777" w:rsidR="00EB4F0C" w:rsidRDefault="00EB4F0C" w:rsidP="003E59E3"/>
        </w:tc>
        <w:tc>
          <w:tcPr>
            <w:tcW w:w="1820" w:type="dxa"/>
          </w:tcPr>
          <w:p w14:paraId="65A722AA" w14:textId="77777777" w:rsidR="00EB4F0C" w:rsidRDefault="00EB4F0C" w:rsidP="003E59E3"/>
        </w:tc>
        <w:tc>
          <w:tcPr>
            <w:tcW w:w="3158" w:type="dxa"/>
          </w:tcPr>
          <w:p w14:paraId="57E9C7BF" w14:textId="77777777" w:rsidR="00EB4F0C" w:rsidRPr="00C94889" w:rsidRDefault="00EB4F0C" w:rsidP="003E59E3"/>
        </w:tc>
        <w:tc>
          <w:tcPr>
            <w:tcW w:w="1011" w:type="dxa"/>
          </w:tcPr>
          <w:p w14:paraId="3EA0CB1F" w14:textId="77777777" w:rsidR="00EB4F0C" w:rsidRDefault="00EB4F0C" w:rsidP="009848BE"/>
        </w:tc>
        <w:tc>
          <w:tcPr>
            <w:tcW w:w="2674" w:type="dxa"/>
          </w:tcPr>
          <w:p w14:paraId="399D2AD8" w14:textId="77777777" w:rsidR="00EB4F0C" w:rsidRDefault="00EB4F0C" w:rsidP="003E59E3"/>
        </w:tc>
        <w:tc>
          <w:tcPr>
            <w:tcW w:w="1364" w:type="dxa"/>
          </w:tcPr>
          <w:p w14:paraId="5D817E5A" w14:textId="77777777" w:rsidR="00EB4F0C" w:rsidRDefault="00EB4F0C" w:rsidP="009848BE"/>
        </w:tc>
        <w:tc>
          <w:tcPr>
            <w:tcW w:w="3089" w:type="dxa"/>
          </w:tcPr>
          <w:p w14:paraId="4BD93363" w14:textId="77777777" w:rsidR="00EB4F0C" w:rsidRPr="009848BE" w:rsidRDefault="00EB4F0C" w:rsidP="003E59E3"/>
        </w:tc>
        <w:tc>
          <w:tcPr>
            <w:tcW w:w="1337" w:type="dxa"/>
            <w:shd w:val="clear" w:color="auto" w:fill="FFC000"/>
          </w:tcPr>
          <w:p w14:paraId="66953DFF" w14:textId="77777777" w:rsidR="00EB4F0C" w:rsidRDefault="00EB4F0C" w:rsidP="003E59E3"/>
        </w:tc>
      </w:tr>
      <w:tr w:rsidR="006836D1" w14:paraId="6174CA31" w14:textId="77777777" w:rsidTr="004B5741">
        <w:tc>
          <w:tcPr>
            <w:tcW w:w="546" w:type="dxa"/>
          </w:tcPr>
          <w:p w14:paraId="4E8C601E" w14:textId="77777777" w:rsidR="006836D1" w:rsidRDefault="006836D1" w:rsidP="003E59E3"/>
        </w:tc>
        <w:tc>
          <w:tcPr>
            <w:tcW w:w="1820" w:type="dxa"/>
          </w:tcPr>
          <w:p w14:paraId="7A505116" w14:textId="77777777" w:rsidR="006836D1" w:rsidRDefault="006836D1" w:rsidP="003E59E3"/>
        </w:tc>
        <w:tc>
          <w:tcPr>
            <w:tcW w:w="3158" w:type="dxa"/>
          </w:tcPr>
          <w:p w14:paraId="7643B24C" w14:textId="77777777" w:rsidR="006836D1" w:rsidRDefault="006836D1" w:rsidP="003E59E3"/>
        </w:tc>
        <w:tc>
          <w:tcPr>
            <w:tcW w:w="1011" w:type="dxa"/>
          </w:tcPr>
          <w:p w14:paraId="1E1C10D0" w14:textId="77777777" w:rsidR="00DA740E" w:rsidRDefault="00DA740E" w:rsidP="003E59E3"/>
        </w:tc>
        <w:tc>
          <w:tcPr>
            <w:tcW w:w="2674" w:type="dxa"/>
          </w:tcPr>
          <w:p w14:paraId="35BDB123" w14:textId="77777777" w:rsidR="006836D1" w:rsidRDefault="006836D1" w:rsidP="003E59E3"/>
        </w:tc>
        <w:tc>
          <w:tcPr>
            <w:tcW w:w="1364" w:type="dxa"/>
          </w:tcPr>
          <w:p w14:paraId="494160AF" w14:textId="77777777" w:rsidR="00E73B57" w:rsidRDefault="00E73B57" w:rsidP="003E59E3"/>
        </w:tc>
        <w:tc>
          <w:tcPr>
            <w:tcW w:w="3089" w:type="dxa"/>
          </w:tcPr>
          <w:p w14:paraId="6C26F2A9" w14:textId="77777777" w:rsidR="00420F13" w:rsidRPr="00472CB5" w:rsidRDefault="00420F13" w:rsidP="003E59E3">
            <w:pPr>
              <w:rPr>
                <w:b/>
                <w:bCs/>
              </w:rPr>
            </w:pPr>
          </w:p>
        </w:tc>
        <w:tc>
          <w:tcPr>
            <w:tcW w:w="1337" w:type="dxa"/>
            <w:shd w:val="clear" w:color="auto" w:fill="FFC000"/>
          </w:tcPr>
          <w:p w14:paraId="2D383C79" w14:textId="77777777" w:rsidR="00374756" w:rsidRDefault="00374756" w:rsidP="003E59E3"/>
        </w:tc>
      </w:tr>
      <w:tr w:rsidR="00266FBA" w14:paraId="35A4AF8D" w14:textId="77777777" w:rsidTr="004B5741">
        <w:tc>
          <w:tcPr>
            <w:tcW w:w="546" w:type="dxa"/>
          </w:tcPr>
          <w:p w14:paraId="587DAAA4" w14:textId="77777777" w:rsidR="00266FBA" w:rsidRDefault="00266FBA" w:rsidP="003E59E3"/>
        </w:tc>
        <w:tc>
          <w:tcPr>
            <w:tcW w:w="1820" w:type="dxa"/>
          </w:tcPr>
          <w:p w14:paraId="6808448B" w14:textId="77777777" w:rsidR="00266FBA" w:rsidRDefault="00266FBA" w:rsidP="003E59E3"/>
        </w:tc>
        <w:tc>
          <w:tcPr>
            <w:tcW w:w="3158" w:type="dxa"/>
          </w:tcPr>
          <w:p w14:paraId="203A8913" w14:textId="77777777" w:rsidR="00266FBA" w:rsidRDefault="00266FBA" w:rsidP="003E59E3"/>
        </w:tc>
        <w:tc>
          <w:tcPr>
            <w:tcW w:w="1011" w:type="dxa"/>
          </w:tcPr>
          <w:p w14:paraId="00A96C0F" w14:textId="77777777" w:rsidR="00F92CF3" w:rsidRDefault="00F92CF3" w:rsidP="003E59E3"/>
        </w:tc>
        <w:tc>
          <w:tcPr>
            <w:tcW w:w="2674" w:type="dxa"/>
          </w:tcPr>
          <w:p w14:paraId="7EA319DE" w14:textId="77777777" w:rsidR="00266FBA" w:rsidRDefault="00266FBA" w:rsidP="003E59E3"/>
        </w:tc>
        <w:tc>
          <w:tcPr>
            <w:tcW w:w="1364" w:type="dxa"/>
          </w:tcPr>
          <w:p w14:paraId="5224501C" w14:textId="77777777" w:rsidR="00325B75" w:rsidRDefault="00325B75" w:rsidP="003E59E3"/>
        </w:tc>
        <w:tc>
          <w:tcPr>
            <w:tcW w:w="3089" w:type="dxa"/>
          </w:tcPr>
          <w:p w14:paraId="56222E4B" w14:textId="77777777" w:rsidR="00266FBA" w:rsidRPr="00325B75" w:rsidRDefault="00266FBA" w:rsidP="003E59E3"/>
        </w:tc>
        <w:tc>
          <w:tcPr>
            <w:tcW w:w="1337" w:type="dxa"/>
            <w:shd w:val="clear" w:color="auto" w:fill="FFC000"/>
          </w:tcPr>
          <w:p w14:paraId="7856D134" w14:textId="77777777" w:rsidR="00266FBA" w:rsidRDefault="00266FBA" w:rsidP="003E59E3"/>
        </w:tc>
      </w:tr>
      <w:tr w:rsidR="00BD4614" w14:paraId="20612FDE" w14:textId="77777777" w:rsidTr="004B5741">
        <w:tc>
          <w:tcPr>
            <w:tcW w:w="546" w:type="dxa"/>
          </w:tcPr>
          <w:p w14:paraId="09EF9136" w14:textId="77777777" w:rsidR="00BD4614" w:rsidRDefault="00BD4614" w:rsidP="003E59E3">
            <w:r>
              <w:t>4</w:t>
            </w:r>
          </w:p>
        </w:tc>
        <w:tc>
          <w:tcPr>
            <w:tcW w:w="1820" w:type="dxa"/>
          </w:tcPr>
          <w:p w14:paraId="46A2880D" w14:textId="77777777" w:rsidR="00BD4614" w:rsidRDefault="00BD4614" w:rsidP="003E59E3">
            <w:r>
              <w:t>Online Safety</w:t>
            </w:r>
          </w:p>
        </w:tc>
        <w:tc>
          <w:tcPr>
            <w:tcW w:w="3158" w:type="dxa"/>
          </w:tcPr>
          <w:p w14:paraId="644A46D8" w14:textId="77777777" w:rsidR="00BD4614" w:rsidRDefault="00BD4614" w:rsidP="003E59E3"/>
        </w:tc>
        <w:tc>
          <w:tcPr>
            <w:tcW w:w="1011" w:type="dxa"/>
          </w:tcPr>
          <w:p w14:paraId="108CAA6F" w14:textId="77777777" w:rsidR="00550D65" w:rsidRDefault="00550D65" w:rsidP="003E59E3"/>
        </w:tc>
        <w:tc>
          <w:tcPr>
            <w:tcW w:w="2674" w:type="dxa"/>
          </w:tcPr>
          <w:p w14:paraId="7F730F41" w14:textId="77777777" w:rsidR="00BD4614" w:rsidRDefault="00BD4614" w:rsidP="003E59E3"/>
        </w:tc>
        <w:tc>
          <w:tcPr>
            <w:tcW w:w="1364" w:type="dxa"/>
          </w:tcPr>
          <w:p w14:paraId="7C1D33E2" w14:textId="77777777" w:rsidR="00731864" w:rsidRDefault="00731864" w:rsidP="003E59E3"/>
        </w:tc>
        <w:tc>
          <w:tcPr>
            <w:tcW w:w="3089" w:type="dxa"/>
          </w:tcPr>
          <w:p w14:paraId="075C6E4D" w14:textId="77777777" w:rsidR="00BD4614" w:rsidRDefault="00BD4614" w:rsidP="003E59E3"/>
        </w:tc>
        <w:tc>
          <w:tcPr>
            <w:tcW w:w="1337" w:type="dxa"/>
            <w:shd w:val="clear" w:color="auto" w:fill="92D050"/>
          </w:tcPr>
          <w:p w14:paraId="00002391" w14:textId="77777777" w:rsidR="00BD4614" w:rsidRDefault="00BD4614" w:rsidP="003E59E3"/>
        </w:tc>
      </w:tr>
      <w:tr w:rsidR="00BD4614" w14:paraId="4EE172C1" w14:textId="77777777" w:rsidTr="004B5741">
        <w:tc>
          <w:tcPr>
            <w:tcW w:w="546" w:type="dxa"/>
          </w:tcPr>
          <w:p w14:paraId="4B762859" w14:textId="77777777" w:rsidR="00BD4614" w:rsidRDefault="00BD4614" w:rsidP="003E59E3">
            <w:r>
              <w:t>5</w:t>
            </w:r>
          </w:p>
        </w:tc>
        <w:tc>
          <w:tcPr>
            <w:tcW w:w="1820" w:type="dxa"/>
          </w:tcPr>
          <w:p w14:paraId="0EF6B7A6" w14:textId="77777777" w:rsidR="00BD4614" w:rsidRDefault="00BD4614" w:rsidP="003E59E3">
            <w:r>
              <w:t>Welfare and Pastoral Care</w:t>
            </w:r>
          </w:p>
        </w:tc>
        <w:tc>
          <w:tcPr>
            <w:tcW w:w="3158" w:type="dxa"/>
          </w:tcPr>
          <w:p w14:paraId="29F02290" w14:textId="77777777" w:rsidR="00BD4614" w:rsidRDefault="00BD4614" w:rsidP="003E59E3"/>
        </w:tc>
        <w:tc>
          <w:tcPr>
            <w:tcW w:w="1011" w:type="dxa"/>
          </w:tcPr>
          <w:p w14:paraId="7C6ABE2F" w14:textId="77777777" w:rsidR="00631184" w:rsidRDefault="00631184" w:rsidP="003E59E3"/>
        </w:tc>
        <w:tc>
          <w:tcPr>
            <w:tcW w:w="2674" w:type="dxa"/>
          </w:tcPr>
          <w:p w14:paraId="260F030B" w14:textId="77777777" w:rsidR="00BD4614" w:rsidRDefault="00BD4614" w:rsidP="003E59E3"/>
        </w:tc>
        <w:tc>
          <w:tcPr>
            <w:tcW w:w="1364" w:type="dxa"/>
          </w:tcPr>
          <w:p w14:paraId="28F47B1D" w14:textId="77777777" w:rsidR="00B71A57" w:rsidRDefault="00B71A57" w:rsidP="003E59E3"/>
        </w:tc>
        <w:tc>
          <w:tcPr>
            <w:tcW w:w="3089" w:type="dxa"/>
          </w:tcPr>
          <w:p w14:paraId="4623D144" w14:textId="77777777" w:rsidR="00BD4614" w:rsidRPr="00B71A57" w:rsidRDefault="00BD4614" w:rsidP="003E59E3">
            <w:pPr>
              <w:rPr>
                <w:b/>
                <w:bCs/>
              </w:rPr>
            </w:pPr>
          </w:p>
        </w:tc>
        <w:tc>
          <w:tcPr>
            <w:tcW w:w="1337" w:type="dxa"/>
            <w:shd w:val="clear" w:color="auto" w:fill="FFC000"/>
          </w:tcPr>
          <w:p w14:paraId="671FED5A" w14:textId="77777777" w:rsidR="00BD4614" w:rsidRDefault="00BD4614" w:rsidP="003E59E3"/>
        </w:tc>
      </w:tr>
      <w:tr w:rsidR="00CF250F" w14:paraId="04F97B04" w14:textId="77777777" w:rsidTr="004B5741">
        <w:tc>
          <w:tcPr>
            <w:tcW w:w="546" w:type="dxa"/>
          </w:tcPr>
          <w:p w14:paraId="39FC46E2" w14:textId="77777777" w:rsidR="00CF250F" w:rsidRDefault="00CF250F" w:rsidP="003E59E3"/>
        </w:tc>
        <w:tc>
          <w:tcPr>
            <w:tcW w:w="1820" w:type="dxa"/>
          </w:tcPr>
          <w:p w14:paraId="1E380DBE" w14:textId="77777777" w:rsidR="00CF250F" w:rsidRDefault="00CF250F" w:rsidP="003E59E3"/>
        </w:tc>
        <w:tc>
          <w:tcPr>
            <w:tcW w:w="3158" w:type="dxa"/>
          </w:tcPr>
          <w:p w14:paraId="6773E9FE" w14:textId="77777777" w:rsidR="00CF250F" w:rsidRDefault="00CF250F" w:rsidP="00E41EF0"/>
        </w:tc>
        <w:tc>
          <w:tcPr>
            <w:tcW w:w="1011" w:type="dxa"/>
          </w:tcPr>
          <w:p w14:paraId="64E4A969" w14:textId="77777777" w:rsidR="00EA6055" w:rsidRDefault="00EA6055" w:rsidP="003E59E3"/>
        </w:tc>
        <w:tc>
          <w:tcPr>
            <w:tcW w:w="2674" w:type="dxa"/>
          </w:tcPr>
          <w:p w14:paraId="33440FD1" w14:textId="77777777" w:rsidR="00CF250F" w:rsidRDefault="00CF250F" w:rsidP="003E59E3"/>
        </w:tc>
        <w:tc>
          <w:tcPr>
            <w:tcW w:w="1364" w:type="dxa"/>
          </w:tcPr>
          <w:p w14:paraId="551F8344" w14:textId="77777777" w:rsidR="00EA6055" w:rsidRDefault="00EA6055" w:rsidP="003E59E3"/>
        </w:tc>
        <w:tc>
          <w:tcPr>
            <w:tcW w:w="3089" w:type="dxa"/>
          </w:tcPr>
          <w:p w14:paraId="34FBA657" w14:textId="77777777" w:rsidR="00CF250F" w:rsidRDefault="00CF250F" w:rsidP="003E59E3"/>
        </w:tc>
        <w:tc>
          <w:tcPr>
            <w:tcW w:w="1337" w:type="dxa"/>
            <w:shd w:val="clear" w:color="auto" w:fill="FFC000"/>
          </w:tcPr>
          <w:p w14:paraId="35291AE4" w14:textId="77777777" w:rsidR="00CF250F" w:rsidRDefault="00CF250F" w:rsidP="003E59E3"/>
        </w:tc>
      </w:tr>
      <w:tr w:rsidR="00BD4614" w14:paraId="01DCE20E" w14:textId="77777777" w:rsidTr="004B5741">
        <w:tc>
          <w:tcPr>
            <w:tcW w:w="546" w:type="dxa"/>
          </w:tcPr>
          <w:p w14:paraId="71F1084A" w14:textId="77777777" w:rsidR="00BD4614" w:rsidRDefault="00BD4614" w:rsidP="003E59E3">
            <w:r>
              <w:lastRenderedPageBreak/>
              <w:t>6</w:t>
            </w:r>
          </w:p>
        </w:tc>
        <w:tc>
          <w:tcPr>
            <w:tcW w:w="1820" w:type="dxa"/>
          </w:tcPr>
          <w:p w14:paraId="46D7F5CB" w14:textId="77777777" w:rsidR="00BD4614" w:rsidRDefault="00BD4614" w:rsidP="003E59E3">
            <w:r>
              <w:t>Speakers and Events</w:t>
            </w:r>
          </w:p>
        </w:tc>
        <w:tc>
          <w:tcPr>
            <w:tcW w:w="3158" w:type="dxa"/>
          </w:tcPr>
          <w:p w14:paraId="65FD50C6" w14:textId="77777777" w:rsidR="00BD4614" w:rsidRDefault="00BD4614" w:rsidP="003E59E3"/>
        </w:tc>
        <w:tc>
          <w:tcPr>
            <w:tcW w:w="1011" w:type="dxa"/>
          </w:tcPr>
          <w:p w14:paraId="4210A893" w14:textId="77777777" w:rsidR="00BD4614" w:rsidRDefault="00BD4614" w:rsidP="003E59E3"/>
        </w:tc>
        <w:tc>
          <w:tcPr>
            <w:tcW w:w="2674" w:type="dxa"/>
          </w:tcPr>
          <w:p w14:paraId="141FF7C8" w14:textId="77777777" w:rsidR="00BD4614" w:rsidRDefault="00BD4614" w:rsidP="003E59E3"/>
        </w:tc>
        <w:tc>
          <w:tcPr>
            <w:tcW w:w="1364" w:type="dxa"/>
          </w:tcPr>
          <w:p w14:paraId="2971681C" w14:textId="77777777" w:rsidR="00BD4614" w:rsidRDefault="00BD4614" w:rsidP="003E59E3"/>
        </w:tc>
        <w:tc>
          <w:tcPr>
            <w:tcW w:w="3089" w:type="dxa"/>
          </w:tcPr>
          <w:p w14:paraId="7EB3B357" w14:textId="77777777" w:rsidR="00BD4614" w:rsidRDefault="00BD4614" w:rsidP="003E59E3"/>
        </w:tc>
        <w:tc>
          <w:tcPr>
            <w:tcW w:w="1337" w:type="dxa"/>
            <w:shd w:val="clear" w:color="auto" w:fill="92D050"/>
          </w:tcPr>
          <w:p w14:paraId="4EF40126" w14:textId="77777777" w:rsidR="00BD4614" w:rsidRDefault="00BD4614" w:rsidP="003E59E3"/>
        </w:tc>
      </w:tr>
      <w:tr w:rsidR="00BD4614" w14:paraId="3F490AD3" w14:textId="77777777" w:rsidTr="004B5741">
        <w:tc>
          <w:tcPr>
            <w:tcW w:w="546" w:type="dxa"/>
          </w:tcPr>
          <w:p w14:paraId="11D8DEFF" w14:textId="77777777" w:rsidR="00BD4614" w:rsidRDefault="00BD4614" w:rsidP="003E59E3">
            <w:r>
              <w:t>7</w:t>
            </w:r>
          </w:p>
        </w:tc>
        <w:tc>
          <w:tcPr>
            <w:tcW w:w="1820" w:type="dxa"/>
          </w:tcPr>
          <w:p w14:paraId="47EFA10C" w14:textId="77777777" w:rsidR="00BD4614" w:rsidRDefault="00BD4614" w:rsidP="003E59E3">
            <w:r>
              <w:t>Promoting British Values</w:t>
            </w:r>
          </w:p>
        </w:tc>
        <w:tc>
          <w:tcPr>
            <w:tcW w:w="3158" w:type="dxa"/>
          </w:tcPr>
          <w:p w14:paraId="4F0233FB" w14:textId="77777777" w:rsidR="00BD4614" w:rsidRDefault="00BD4614" w:rsidP="003E59E3"/>
        </w:tc>
        <w:tc>
          <w:tcPr>
            <w:tcW w:w="1011" w:type="dxa"/>
          </w:tcPr>
          <w:p w14:paraId="2291103B" w14:textId="77777777" w:rsidR="00C46EFD" w:rsidRDefault="00C46EFD" w:rsidP="003E59E3"/>
        </w:tc>
        <w:tc>
          <w:tcPr>
            <w:tcW w:w="2674" w:type="dxa"/>
          </w:tcPr>
          <w:p w14:paraId="32287E6D" w14:textId="77777777" w:rsidR="00BD4614" w:rsidRDefault="00BD4614" w:rsidP="003E59E3"/>
        </w:tc>
        <w:tc>
          <w:tcPr>
            <w:tcW w:w="1364" w:type="dxa"/>
          </w:tcPr>
          <w:p w14:paraId="5686F104" w14:textId="77777777" w:rsidR="00C46EFD" w:rsidRDefault="00C46EFD" w:rsidP="003E59E3"/>
        </w:tc>
        <w:tc>
          <w:tcPr>
            <w:tcW w:w="3089" w:type="dxa"/>
          </w:tcPr>
          <w:p w14:paraId="11D902FE" w14:textId="77777777" w:rsidR="006C4F5A" w:rsidRPr="006C4F5A" w:rsidRDefault="006C4F5A" w:rsidP="003E59E3"/>
        </w:tc>
        <w:tc>
          <w:tcPr>
            <w:tcW w:w="1337" w:type="dxa"/>
            <w:shd w:val="clear" w:color="auto" w:fill="FFC000"/>
          </w:tcPr>
          <w:p w14:paraId="4D548A43" w14:textId="77777777" w:rsidR="00BD4614" w:rsidRDefault="00BD4614" w:rsidP="003E59E3"/>
        </w:tc>
      </w:tr>
      <w:tr w:rsidR="00BD4614" w14:paraId="30CEA8DD" w14:textId="77777777" w:rsidTr="004B5741">
        <w:tc>
          <w:tcPr>
            <w:tcW w:w="546" w:type="dxa"/>
          </w:tcPr>
          <w:p w14:paraId="70311C5D" w14:textId="77777777" w:rsidR="00BD4614" w:rsidRDefault="00BD4614" w:rsidP="003E59E3">
            <w:r>
              <w:t>8</w:t>
            </w:r>
          </w:p>
        </w:tc>
        <w:tc>
          <w:tcPr>
            <w:tcW w:w="1820" w:type="dxa"/>
          </w:tcPr>
          <w:p w14:paraId="271A0237" w14:textId="77777777" w:rsidR="00BD4614" w:rsidRDefault="00BD4614" w:rsidP="003E59E3">
            <w:r>
              <w:t>Site security</w:t>
            </w:r>
          </w:p>
        </w:tc>
        <w:tc>
          <w:tcPr>
            <w:tcW w:w="3158" w:type="dxa"/>
          </w:tcPr>
          <w:p w14:paraId="2BD3B726" w14:textId="77777777" w:rsidR="00BD4614" w:rsidRDefault="00BD4614" w:rsidP="009223EA">
            <w:pPr>
              <w:contextualSpacing/>
            </w:pPr>
          </w:p>
        </w:tc>
        <w:tc>
          <w:tcPr>
            <w:tcW w:w="1011" w:type="dxa"/>
          </w:tcPr>
          <w:p w14:paraId="7425E500" w14:textId="77777777" w:rsidR="00F97B62" w:rsidRDefault="00F97B62" w:rsidP="003E59E3"/>
        </w:tc>
        <w:tc>
          <w:tcPr>
            <w:tcW w:w="2674" w:type="dxa"/>
          </w:tcPr>
          <w:p w14:paraId="6CCF13AE" w14:textId="77777777" w:rsidR="0023299D" w:rsidRDefault="0023299D" w:rsidP="003E59E3"/>
        </w:tc>
        <w:tc>
          <w:tcPr>
            <w:tcW w:w="1364" w:type="dxa"/>
          </w:tcPr>
          <w:p w14:paraId="5F32DC97" w14:textId="77777777" w:rsidR="001A283A" w:rsidRDefault="001A283A" w:rsidP="003E59E3"/>
        </w:tc>
        <w:tc>
          <w:tcPr>
            <w:tcW w:w="3089" w:type="dxa"/>
          </w:tcPr>
          <w:p w14:paraId="3D4579BA" w14:textId="77777777" w:rsidR="0023299D" w:rsidRPr="0023299D" w:rsidRDefault="0023299D" w:rsidP="003E59E3"/>
        </w:tc>
        <w:tc>
          <w:tcPr>
            <w:tcW w:w="1337" w:type="dxa"/>
            <w:shd w:val="clear" w:color="auto" w:fill="FFC000"/>
          </w:tcPr>
          <w:p w14:paraId="2D5BAB7D" w14:textId="77777777" w:rsidR="00BD4614" w:rsidRDefault="00BD4614" w:rsidP="003E59E3"/>
        </w:tc>
      </w:tr>
      <w:tr w:rsidR="00BD4614" w14:paraId="296A12F7" w14:textId="77777777" w:rsidTr="005916B8">
        <w:tc>
          <w:tcPr>
            <w:tcW w:w="546" w:type="dxa"/>
          </w:tcPr>
          <w:p w14:paraId="0330E095" w14:textId="77777777" w:rsidR="00BD4614" w:rsidRDefault="00BD4614" w:rsidP="003E59E3">
            <w:r>
              <w:t>9</w:t>
            </w:r>
          </w:p>
        </w:tc>
        <w:tc>
          <w:tcPr>
            <w:tcW w:w="1820" w:type="dxa"/>
          </w:tcPr>
          <w:p w14:paraId="052473BF" w14:textId="77777777" w:rsidR="00BD4614" w:rsidRDefault="00BD4614" w:rsidP="003E59E3">
            <w:r>
              <w:t>Prayer and Faith facilities</w:t>
            </w:r>
          </w:p>
        </w:tc>
        <w:tc>
          <w:tcPr>
            <w:tcW w:w="3158" w:type="dxa"/>
          </w:tcPr>
          <w:p w14:paraId="62792208" w14:textId="77777777" w:rsidR="00BD4614" w:rsidRDefault="00BD4614" w:rsidP="003E59E3"/>
        </w:tc>
        <w:tc>
          <w:tcPr>
            <w:tcW w:w="1011" w:type="dxa"/>
          </w:tcPr>
          <w:p w14:paraId="5C1B6DDA" w14:textId="77777777" w:rsidR="005B30F1" w:rsidRDefault="005B30F1" w:rsidP="003E59E3"/>
        </w:tc>
        <w:tc>
          <w:tcPr>
            <w:tcW w:w="2674" w:type="dxa"/>
          </w:tcPr>
          <w:p w14:paraId="235236C3" w14:textId="77777777" w:rsidR="00BD4614" w:rsidRDefault="00BD4614" w:rsidP="003E59E3"/>
        </w:tc>
        <w:tc>
          <w:tcPr>
            <w:tcW w:w="1364" w:type="dxa"/>
          </w:tcPr>
          <w:p w14:paraId="240BA644" w14:textId="77777777" w:rsidR="005916B8" w:rsidRDefault="005916B8" w:rsidP="003E59E3"/>
        </w:tc>
        <w:tc>
          <w:tcPr>
            <w:tcW w:w="3089" w:type="dxa"/>
          </w:tcPr>
          <w:p w14:paraId="6DF646DB" w14:textId="77777777" w:rsidR="00BD4614" w:rsidRDefault="00BD4614" w:rsidP="003E59E3"/>
        </w:tc>
        <w:tc>
          <w:tcPr>
            <w:tcW w:w="1337" w:type="dxa"/>
            <w:shd w:val="clear" w:color="auto" w:fill="92D050"/>
          </w:tcPr>
          <w:p w14:paraId="1C093CB1" w14:textId="77777777" w:rsidR="00BD4614" w:rsidRDefault="00BD4614" w:rsidP="003E59E3"/>
        </w:tc>
      </w:tr>
      <w:tr w:rsidR="00BD4614" w14:paraId="6BD382EB" w14:textId="77777777" w:rsidTr="00BA2DBC">
        <w:tc>
          <w:tcPr>
            <w:tcW w:w="546" w:type="dxa"/>
          </w:tcPr>
          <w:p w14:paraId="65665E34" w14:textId="77777777" w:rsidR="00BD4614" w:rsidRDefault="00BD4614" w:rsidP="003E59E3">
            <w:r>
              <w:t>10</w:t>
            </w:r>
          </w:p>
        </w:tc>
        <w:tc>
          <w:tcPr>
            <w:tcW w:w="1820" w:type="dxa"/>
          </w:tcPr>
          <w:p w14:paraId="2338CDE1" w14:textId="77777777" w:rsidR="00BD4614" w:rsidRDefault="00BD4614" w:rsidP="003E59E3">
            <w:r>
              <w:t>Work based Learners</w:t>
            </w:r>
          </w:p>
        </w:tc>
        <w:tc>
          <w:tcPr>
            <w:tcW w:w="3158" w:type="dxa"/>
          </w:tcPr>
          <w:p w14:paraId="553EF42C" w14:textId="77777777" w:rsidR="00BD4614" w:rsidRDefault="00BD4614" w:rsidP="003E59E3"/>
        </w:tc>
        <w:tc>
          <w:tcPr>
            <w:tcW w:w="1011" w:type="dxa"/>
          </w:tcPr>
          <w:p w14:paraId="6B2A281B" w14:textId="77777777" w:rsidR="00F074CD" w:rsidRDefault="00F074CD" w:rsidP="003E59E3"/>
        </w:tc>
        <w:tc>
          <w:tcPr>
            <w:tcW w:w="2674" w:type="dxa"/>
          </w:tcPr>
          <w:p w14:paraId="4B5171C5" w14:textId="77777777" w:rsidR="00BD4614" w:rsidRDefault="00BD4614" w:rsidP="003E59E3"/>
        </w:tc>
        <w:tc>
          <w:tcPr>
            <w:tcW w:w="1364" w:type="dxa"/>
          </w:tcPr>
          <w:p w14:paraId="0E866404" w14:textId="77777777" w:rsidR="008D0001" w:rsidRDefault="008D0001" w:rsidP="003E59E3"/>
        </w:tc>
        <w:tc>
          <w:tcPr>
            <w:tcW w:w="3089" w:type="dxa"/>
          </w:tcPr>
          <w:p w14:paraId="54B7B1F0" w14:textId="77777777" w:rsidR="00BD4614" w:rsidRDefault="00BD4614" w:rsidP="003E59E3"/>
        </w:tc>
        <w:tc>
          <w:tcPr>
            <w:tcW w:w="1337" w:type="dxa"/>
            <w:shd w:val="clear" w:color="auto" w:fill="FFC000"/>
          </w:tcPr>
          <w:p w14:paraId="26321EC7" w14:textId="77777777" w:rsidR="00995FB5" w:rsidRDefault="00995FB5" w:rsidP="003E59E3"/>
        </w:tc>
      </w:tr>
      <w:tr w:rsidR="00BD4614" w14:paraId="59508DE9" w14:textId="77777777" w:rsidTr="00BA2DBC">
        <w:tc>
          <w:tcPr>
            <w:tcW w:w="546" w:type="dxa"/>
          </w:tcPr>
          <w:p w14:paraId="2C526E47" w14:textId="77777777" w:rsidR="00BD4614" w:rsidRDefault="00BD4614" w:rsidP="003E59E3">
            <w:r>
              <w:t>11</w:t>
            </w:r>
          </w:p>
        </w:tc>
        <w:tc>
          <w:tcPr>
            <w:tcW w:w="1820" w:type="dxa"/>
          </w:tcPr>
          <w:p w14:paraId="715D6BD6" w14:textId="77777777" w:rsidR="00BD4614" w:rsidRDefault="00BD4614" w:rsidP="003E59E3">
            <w:r>
              <w:t>National</w:t>
            </w:r>
            <w:r w:rsidR="00F21FC0">
              <w:t>/Local</w:t>
            </w:r>
            <w:r>
              <w:t xml:space="preserve"> Terrorism Risk Level</w:t>
            </w:r>
          </w:p>
        </w:tc>
        <w:tc>
          <w:tcPr>
            <w:tcW w:w="3158" w:type="dxa"/>
          </w:tcPr>
          <w:p w14:paraId="27FEECFA" w14:textId="77777777" w:rsidR="00BD4614" w:rsidRDefault="00BD4614" w:rsidP="003E59E3"/>
        </w:tc>
        <w:tc>
          <w:tcPr>
            <w:tcW w:w="1011" w:type="dxa"/>
          </w:tcPr>
          <w:p w14:paraId="79D5EC96" w14:textId="77777777" w:rsidR="00F074CD" w:rsidRDefault="00F074CD" w:rsidP="003E59E3"/>
        </w:tc>
        <w:tc>
          <w:tcPr>
            <w:tcW w:w="2674" w:type="dxa"/>
          </w:tcPr>
          <w:p w14:paraId="1EE2386C" w14:textId="77777777" w:rsidR="001373CC" w:rsidRDefault="001373CC" w:rsidP="003E59E3"/>
        </w:tc>
        <w:tc>
          <w:tcPr>
            <w:tcW w:w="1364" w:type="dxa"/>
          </w:tcPr>
          <w:p w14:paraId="679B3982" w14:textId="77777777" w:rsidR="008D0001" w:rsidRDefault="008D0001" w:rsidP="003E59E3"/>
        </w:tc>
        <w:tc>
          <w:tcPr>
            <w:tcW w:w="3089" w:type="dxa"/>
          </w:tcPr>
          <w:p w14:paraId="48FA2BDC" w14:textId="77777777" w:rsidR="00BD4614" w:rsidRDefault="00BD4614" w:rsidP="003E59E3"/>
        </w:tc>
        <w:tc>
          <w:tcPr>
            <w:tcW w:w="1337" w:type="dxa"/>
            <w:shd w:val="clear" w:color="auto" w:fill="FFC000"/>
          </w:tcPr>
          <w:p w14:paraId="40716586" w14:textId="77777777" w:rsidR="00BD4614" w:rsidRDefault="00BD4614" w:rsidP="003E59E3"/>
        </w:tc>
      </w:tr>
    </w:tbl>
    <w:p w14:paraId="02610162" w14:textId="77777777" w:rsidR="00EC3D05" w:rsidRDefault="00EC3D05"/>
    <w:sectPr w:rsidR="00EC3D05" w:rsidSect="00BD46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C5812" w14:textId="77777777" w:rsidR="00A046C6" w:rsidRDefault="00A046C6" w:rsidP="0023299D">
      <w:pPr>
        <w:spacing w:line="240" w:lineRule="auto"/>
      </w:pPr>
      <w:r>
        <w:separator/>
      </w:r>
    </w:p>
  </w:endnote>
  <w:endnote w:type="continuationSeparator" w:id="0">
    <w:p w14:paraId="4A856F2C" w14:textId="77777777" w:rsidR="00A046C6" w:rsidRDefault="00A046C6" w:rsidP="00232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82507" w14:textId="77777777" w:rsidR="00A046C6" w:rsidRDefault="00A046C6" w:rsidP="0023299D">
      <w:pPr>
        <w:spacing w:line="240" w:lineRule="auto"/>
      </w:pPr>
      <w:r>
        <w:separator/>
      </w:r>
    </w:p>
  </w:footnote>
  <w:footnote w:type="continuationSeparator" w:id="0">
    <w:p w14:paraId="5E45B8D6" w14:textId="77777777" w:rsidR="00A046C6" w:rsidRDefault="00A046C6" w:rsidP="002329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C04BD"/>
    <w:multiLevelType w:val="hybridMultilevel"/>
    <w:tmpl w:val="9C12CDAA"/>
    <w:lvl w:ilvl="0" w:tplc="334C34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F5260C"/>
    <w:multiLevelType w:val="hybridMultilevel"/>
    <w:tmpl w:val="BE4047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3D0309"/>
    <w:multiLevelType w:val="hybridMultilevel"/>
    <w:tmpl w:val="8530FB18"/>
    <w:lvl w:ilvl="0" w:tplc="9DDA1F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8556FB"/>
    <w:multiLevelType w:val="hybridMultilevel"/>
    <w:tmpl w:val="4572B2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4130834"/>
    <w:multiLevelType w:val="hybridMultilevel"/>
    <w:tmpl w:val="32BCB4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B2"/>
    <w:rsid w:val="000236BC"/>
    <w:rsid w:val="00040648"/>
    <w:rsid w:val="00046CF9"/>
    <w:rsid w:val="00054225"/>
    <w:rsid w:val="000575D8"/>
    <w:rsid w:val="000870CD"/>
    <w:rsid w:val="000A0ABD"/>
    <w:rsid w:val="000A6904"/>
    <w:rsid w:val="000D6B74"/>
    <w:rsid w:val="000E49C3"/>
    <w:rsid w:val="000E6015"/>
    <w:rsid w:val="000E6182"/>
    <w:rsid w:val="000F3493"/>
    <w:rsid w:val="00105CA5"/>
    <w:rsid w:val="00126A96"/>
    <w:rsid w:val="001373CC"/>
    <w:rsid w:val="00171AD5"/>
    <w:rsid w:val="0017236B"/>
    <w:rsid w:val="00180E25"/>
    <w:rsid w:val="001938AB"/>
    <w:rsid w:val="001A283A"/>
    <w:rsid w:val="001B0E26"/>
    <w:rsid w:val="001B3900"/>
    <w:rsid w:val="001C1FB1"/>
    <w:rsid w:val="0022141D"/>
    <w:rsid w:val="0023299D"/>
    <w:rsid w:val="002363A9"/>
    <w:rsid w:val="002407C0"/>
    <w:rsid w:val="0026002E"/>
    <w:rsid w:val="00266FBA"/>
    <w:rsid w:val="00274E41"/>
    <w:rsid w:val="0029138E"/>
    <w:rsid w:val="002D58C9"/>
    <w:rsid w:val="002D5FB2"/>
    <w:rsid w:val="00302B5C"/>
    <w:rsid w:val="00325B75"/>
    <w:rsid w:val="00360EA8"/>
    <w:rsid w:val="00374756"/>
    <w:rsid w:val="00392967"/>
    <w:rsid w:val="0039355C"/>
    <w:rsid w:val="00393C7B"/>
    <w:rsid w:val="003B5F3C"/>
    <w:rsid w:val="003C4F7B"/>
    <w:rsid w:val="003D4FF1"/>
    <w:rsid w:val="003E1F2F"/>
    <w:rsid w:val="003E59E3"/>
    <w:rsid w:val="00420F13"/>
    <w:rsid w:val="00425EB0"/>
    <w:rsid w:val="00440EAC"/>
    <w:rsid w:val="0045238C"/>
    <w:rsid w:val="00470014"/>
    <w:rsid w:val="00472CB5"/>
    <w:rsid w:val="00484CF9"/>
    <w:rsid w:val="004919D6"/>
    <w:rsid w:val="00495047"/>
    <w:rsid w:val="004B12F0"/>
    <w:rsid w:val="004B5741"/>
    <w:rsid w:val="004B623A"/>
    <w:rsid w:val="004F1B84"/>
    <w:rsid w:val="00550D65"/>
    <w:rsid w:val="00563643"/>
    <w:rsid w:val="00586743"/>
    <w:rsid w:val="005916B8"/>
    <w:rsid w:val="005B25EF"/>
    <w:rsid w:val="005B30F1"/>
    <w:rsid w:val="005D0F47"/>
    <w:rsid w:val="005D5DFC"/>
    <w:rsid w:val="005F22A4"/>
    <w:rsid w:val="005F6DF0"/>
    <w:rsid w:val="006176D8"/>
    <w:rsid w:val="00631184"/>
    <w:rsid w:val="00637D31"/>
    <w:rsid w:val="0065018B"/>
    <w:rsid w:val="00670C45"/>
    <w:rsid w:val="006836D1"/>
    <w:rsid w:val="006A680C"/>
    <w:rsid w:val="006A73D4"/>
    <w:rsid w:val="006B4E17"/>
    <w:rsid w:val="006C4F5A"/>
    <w:rsid w:val="006D7B10"/>
    <w:rsid w:val="006F0DAD"/>
    <w:rsid w:val="00731864"/>
    <w:rsid w:val="00733977"/>
    <w:rsid w:val="00770DD8"/>
    <w:rsid w:val="007B1EE6"/>
    <w:rsid w:val="007E5263"/>
    <w:rsid w:val="007F4BCD"/>
    <w:rsid w:val="00813E33"/>
    <w:rsid w:val="00822E04"/>
    <w:rsid w:val="00847717"/>
    <w:rsid w:val="00847994"/>
    <w:rsid w:val="00861FDA"/>
    <w:rsid w:val="00893885"/>
    <w:rsid w:val="00893FAD"/>
    <w:rsid w:val="008A693D"/>
    <w:rsid w:val="008B7FB6"/>
    <w:rsid w:val="008D0001"/>
    <w:rsid w:val="008D08B8"/>
    <w:rsid w:val="008E4614"/>
    <w:rsid w:val="00904EF1"/>
    <w:rsid w:val="0091459C"/>
    <w:rsid w:val="009223EA"/>
    <w:rsid w:val="009369E8"/>
    <w:rsid w:val="009500F8"/>
    <w:rsid w:val="00951F45"/>
    <w:rsid w:val="00960C80"/>
    <w:rsid w:val="00975384"/>
    <w:rsid w:val="009848BE"/>
    <w:rsid w:val="00995FB5"/>
    <w:rsid w:val="009A0F98"/>
    <w:rsid w:val="009A2BA0"/>
    <w:rsid w:val="009B2A21"/>
    <w:rsid w:val="009B4819"/>
    <w:rsid w:val="009C33A8"/>
    <w:rsid w:val="009C5CA5"/>
    <w:rsid w:val="009E1296"/>
    <w:rsid w:val="009F05D0"/>
    <w:rsid w:val="009F7BB5"/>
    <w:rsid w:val="00A046C6"/>
    <w:rsid w:val="00A24C0D"/>
    <w:rsid w:val="00A4515C"/>
    <w:rsid w:val="00A45CF0"/>
    <w:rsid w:val="00A81345"/>
    <w:rsid w:val="00A8277B"/>
    <w:rsid w:val="00A9119D"/>
    <w:rsid w:val="00A922D6"/>
    <w:rsid w:val="00AF5FD8"/>
    <w:rsid w:val="00B3254C"/>
    <w:rsid w:val="00B608BA"/>
    <w:rsid w:val="00B62617"/>
    <w:rsid w:val="00B71A57"/>
    <w:rsid w:val="00B82D03"/>
    <w:rsid w:val="00B93ED4"/>
    <w:rsid w:val="00BA2DBC"/>
    <w:rsid w:val="00BB04DD"/>
    <w:rsid w:val="00BD4614"/>
    <w:rsid w:val="00BE16D6"/>
    <w:rsid w:val="00BF4E62"/>
    <w:rsid w:val="00C106B2"/>
    <w:rsid w:val="00C1500C"/>
    <w:rsid w:val="00C263B1"/>
    <w:rsid w:val="00C46EFD"/>
    <w:rsid w:val="00C5076D"/>
    <w:rsid w:val="00C555D7"/>
    <w:rsid w:val="00C83AA4"/>
    <w:rsid w:val="00C87017"/>
    <w:rsid w:val="00C93529"/>
    <w:rsid w:val="00C94889"/>
    <w:rsid w:val="00C97FF8"/>
    <w:rsid w:val="00CA1291"/>
    <w:rsid w:val="00CB5BE7"/>
    <w:rsid w:val="00CD010F"/>
    <w:rsid w:val="00CE582B"/>
    <w:rsid w:val="00CE6B53"/>
    <w:rsid w:val="00CE7547"/>
    <w:rsid w:val="00CF250F"/>
    <w:rsid w:val="00CF3DFD"/>
    <w:rsid w:val="00D065CF"/>
    <w:rsid w:val="00D153C6"/>
    <w:rsid w:val="00D20DF2"/>
    <w:rsid w:val="00D247B2"/>
    <w:rsid w:val="00D34496"/>
    <w:rsid w:val="00D51AA2"/>
    <w:rsid w:val="00D6068D"/>
    <w:rsid w:val="00D6188B"/>
    <w:rsid w:val="00D63BD9"/>
    <w:rsid w:val="00D65FA6"/>
    <w:rsid w:val="00DA06B2"/>
    <w:rsid w:val="00DA6C12"/>
    <w:rsid w:val="00DA740E"/>
    <w:rsid w:val="00DB7F62"/>
    <w:rsid w:val="00DC372A"/>
    <w:rsid w:val="00DE1055"/>
    <w:rsid w:val="00DE233F"/>
    <w:rsid w:val="00DE5371"/>
    <w:rsid w:val="00DF00C5"/>
    <w:rsid w:val="00DF1663"/>
    <w:rsid w:val="00DF370D"/>
    <w:rsid w:val="00E0501E"/>
    <w:rsid w:val="00E30331"/>
    <w:rsid w:val="00E30C9C"/>
    <w:rsid w:val="00E41EF0"/>
    <w:rsid w:val="00E512D7"/>
    <w:rsid w:val="00E63414"/>
    <w:rsid w:val="00E73B57"/>
    <w:rsid w:val="00E96CB9"/>
    <w:rsid w:val="00EA6055"/>
    <w:rsid w:val="00EB4F0C"/>
    <w:rsid w:val="00EB6192"/>
    <w:rsid w:val="00EC1571"/>
    <w:rsid w:val="00EC1FAA"/>
    <w:rsid w:val="00EC3D05"/>
    <w:rsid w:val="00F074CD"/>
    <w:rsid w:val="00F21FC0"/>
    <w:rsid w:val="00F42E46"/>
    <w:rsid w:val="00F44ACB"/>
    <w:rsid w:val="00F5031D"/>
    <w:rsid w:val="00F72032"/>
    <w:rsid w:val="00F91A89"/>
    <w:rsid w:val="00F92CF3"/>
    <w:rsid w:val="00F97B62"/>
    <w:rsid w:val="00FC64C4"/>
    <w:rsid w:val="00FE3AA2"/>
    <w:rsid w:val="00FE7D38"/>
    <w:rsid w:val="00FF0D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04841"/>
  <w15:docId w15:val="{CC153FA4-1D48-4AEE-9060-F2042B69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F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06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225"/>
    <w:pPr>
      <w:spacing w:after="200" w:line="276" w:lineRule="auto"/>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171A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AD5"/>
    <w:rPr>
      <w:rFonts w:ascii="Tahoma" w:hAnsi="Tahoma" w:cs="Tahoma"/>
      <w:sz w:val="16"/>
      <w:szCs w:val="16"/>
    </w:rPr>
  </w:style>
  <w:style w:type="paragraph" w:customStyle="1" w:styleId="DAAnnexes">
    <w:name w:val="DA Annexes"/>
    <w:basedOn w:val="Normal"/>
    <w:link w:val="DAAnnexesChar"/>
    <w:qFormat/>
    <w:rsid w:val="00440EAC"/>
    <w:pPr>
      <w:tabs>
        <w:tab w:val="left" w:pos="0"/>
      </w:tabs>
      <w:autoSpaceDE w:val="0"/>
      <w:autoSpaceDN w:val="0"/>
      <w:adjustRightInd w:val="0"/>
      <w:spacing w:before="120" w:after="120" w:line="240" w:lineRule="auto"/>
      <w:contextualSpacing/>
    </w:pPr>
    <w:rPr>
      <w:rFonts w:cs="Arial"/>
      <w:b/>
      <w:bCs/>
      <w:color w:val="2A2853"/>
      <w:sz w:val="28"/>
      <w:szCs w:val="28"/>
    </w:rPr>
  </w:style>
  <w:style w:type="character" w:customStyle="1" w:styleId="DAAnnexesChar">
    <w:name w:val="DA Annexes Char"/>
    <w:basedOn w:val="DefaultParagraphFont"/>
    <w:link w:val="DAAnnexes"/>
    <w:rsid w:val="00440EAC"/>
    <w:rPr>
      <w:rFonts w:cs="Arial"/>
      <w:b/>
      <w:bCs/>
      <w:color w:val="2A285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D708D380B2E4686EB9D2D22929574" ma:contentTypeVersion="13" ma:contentTypeDescription="Create a new document." ma:contentTypeScope="" ma:versionID="2491dd828526d86775a1cb72497de8eb">
  <xsd:schema xmlns:xsd="http://www.w3.org/2001/XMLSchema" xmlns:xs="http://www.w3.org/2001/XMLSchema" xmlns:p="http://schemas.microsoft.com/office/2006/metadata/properties" xmlns:ns3="0d630003-58a2-438e-a935-8cf55d22c7fe" xmlns:ns4="ae45bab3-e6d5-4f1e-ab1b-2e410de074dc" targetNamespace="http://schemas.microsoft.com/office/2006/metadata/properties" ma:root="true" ma:fieldsID="50628b5049673253cfeebccc3ab69818" ns3:_="" ns4:_="">
    <xsd:import namespace="0d630003-58a2-438e-a935-8cf55d22c7fe"/>
    <xsd:import namespace="ae45bab3-e6d5-4f1e-ab1b-2e410de074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30003-58a2-438e-a935-8cf55d22c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5bab3-e6d5-4f1e-ab1b-2e410de074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FB2FA-23BA-4613-B985-A09EA619C3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8AF036-6694-487A-8F65-FC4DF96D0751}">
  <ds:schemaRefs>
    <ds:schemaRef ds:uri="http://schemas.microsoft.com/sharepoint/v3/contenttype/forms"/>
  </ds:schemaRefs>
</ds:datastoreItem>
</file>

<file path=customXml/itemProps3.xml><?xml version="1.0" encoding="utf-8"?>
<ds:datastoreItem xmlns:ds="http://schemas.openxmlformats.org/officeDocument/2006/customXml" ds:itemID="{85250C97-84DD-42FC-BCBB-14E200E8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30003-58a2-438e-a935-8cf55d22c7fe"/>
    <ds:schemaRef ds:uri="ae45bab3-e6d5-4f1e-ab1b-2e410de07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Newton, Business Improvement Officer (LS, Safeg, E&amp;D)</dc:creator>
  <cp:lastModifiedBy>charlie</cp:lastModifiedBy>
  <cp:revision>3</cp:revision>
  <dcterms:created xsi:type="dcterms:W3CDTF">2020-09-29T11:07:00Z</dcterms:created>
  <dcterms:modified xsi:type="dcterms:W3CDTF">2020-09-29T11:31:00Z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0x010100620D708D380B2E4686EB9D2D22929574</vt:lpwstr>
  </property>
  <property fmtid="{D5CDD505-2E9C-101B-9397-08002B2CF9AE}" pid="3" name="MSIP_Label_39d8be9e-c8d9-4b9c-bd40-2c27cc7ea2e6_Enabled">
    <vt:lpwstr>true</vt:lpwstr>
  </property>
  <property fmtid="{D5CDD505-2E9C-101B-9397-08002B2CF9AE}" pid="4" name="MSIP_Label_39d8be9e-c8d9-4b9c-bd40-2c27cc7ea2e6_SetDate">
    <vt:lpwstr>2020-07-02T12:41:34Z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a3f76ad1-4f59-4165-bf80-0000b243b7db</vt:lpwstr>
  </property>
  <property fmtid="{D5CDD505-2E9C-101B-9397-08002B2CF9AE}" pid="9" name="MSIP_Label_39d8be9e-c8d9-4b9c-bd40-2c27cc7ea2e6_ContentBits">
    <vt:lpwstr>0</vt:lpwstr>
  </property>
</Properties>
</file>