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D240B" w14:textId="5149431C" w:rsidR="00C141BF" w:rsidRPr="003A0A79" w:rsidRDefault="00C141BF" w:rsidP="00C141BF">
      <w:pPr>
        <w:pStyle w:val="DAAnnexes"/>
      </w:pPr>
      <w:r>
        <w:drawing>
          <wp:anchor distT="0" distB="0" distL="114300" distR="114300" simplePos="0" relativeHeight="251660288" behindDoc="0" locked="0" layoutInCell="1" allowOverlap="1" wp14:anchorId="77A643C1" wp14:editId="7AB25F1F">
            <wp:simplePos x="0" y="0"/>
            <wp:positionH relativeFrom="column">
              <wp:posOffset>4857792</wp:posOffset>
            </wp:positionH>
            <wp:positionV relativeFrom="paragraph">
              <wp:posOffset>-488315</wp:posOffset>
            </wp:positionV>
            <wp:extent cx="1447800" cy="452093"/>
            <wp:effectExtent l="0" t="0" r="0" b="5715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52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9264" behindDoc="0" locked="0" layoutInCell="1" allowOverlap="1" wp14:anchorId="5FE50DB3" wp14:editId="26C89F1E">
            <wp:simplePos x="0" y="0"/>
            <wp:positionH relativeFrom="column">
              <wp:posOffset>3353435</wp:posOffset>
            </wp:positionH>
            <wp:positionV relativeFrom="paragraph">
              <wp:posOffset>-542925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183">
        <w:t>Underpinning Technology</w:t>
      </w:r>
      <w:r w:rsidRPr="003A0A79">
        <w:t xml:space="preserve"> Guidance </w:t>
      </w:r>
      <w:r w:rsidRPr="00D66CA8">
        <w:t>Materials</w:t>
      </w:r>
    </w:p>
    <w:p w14:paraId="3D6A1D3C" w14:textId="77777777" w:rsidR="00C141BF" w:rsidRDefault="00C141BF" w:rsidP="00C141BF">
      <w:pPr>
        <w:pStyle w:val="DAAnnexes"/>
      </w:pPr>
      <w:bookmarkStart w:id="0" w:name="_Toc50720250"/>
      <w:bookmarkStart w:id="1" w:name="_Toc51918756"/>
      <w:bookmarkStart w:id="2" w:name="Annex_1"/>
    </w:p>
    <w:p w14:paraId="35D9ACA5" w14:textId="1412342E" w:rsidR="00C141BF" w:rsidRDefault="00C141BF" w:rsidP="00C141BF">
      <w:pPr>
        <w:pStyle w:val="DAAnnexes"/>
      </w:pPr>
      <w:r w:rsidRPr="0018748D">
        <w:t xml:space="preserve">Annex </w:t>
      </w:r>
      <w:r>
        <w:t xml:space="preserve">4 - </w:t>
      </w:r>
      <w:bookmarkEnd w:id="0"/>
      <w:bookmarkEnd w:id="1"/>
      <w:bookmarkEnd w:id="2"/>
      <w:r w:rsidRPr="00C141BF">
        <w:t>Example resources from G</w:t>
      </w:r>
      <w:r>
        <w:t>-</w:t>
      </w:r>
      <w:r w:rsidRPr="00C141BF">
        <w:t>Suite for Education</w:t>
      </w:r>
    </w:p>
    <w:p w14:paraId="32DDDA62" w14:textId="76898B5F" w:rsidR="00C141BF" w:rsidRDefault="00C141BF" w:rsidP="00C141BF">
      <w:pPr>
        <w:pStyle w:val="DigitalACEheading"/>
      </w:pPr>
      <w:r>
        <w:t xml:space="preserve">Google </w:t>
      </w:r>
      <w:proofErr w:type="spellStart"/>
      <w:r>
        <w:t>JamBoard</w:t>
      </w:r>
      <w:proofErr w:type="spellEnd"/>
      <w:r>
        <w:t xml:space="preserve"> – Personal Study Plan</w:t>
      </w:r>
    </w:p>
    <w:p w14:paraId="77C019D6" w14:textId="7AC0FE8B" w:rsidR="00C141BF" w:rsidRDefault="00C141BF" w:rsidP="00C141BF">
      <w:pPr>
        <w:pStyle w:val="DAAnnexes"/>
      </w:pPr>
      <w:r>
        <w:rPr>
          <w:noProof/>
        </w:rPr>
        <w:drawing>
          <wp:inline distT="0" distB="0" distL="0" distR="0" wp14:anchorId="2905F32F" wp14:editId="05637BBA">
            <wp:extent cx="5772617" cy="363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847"/>
                    <a:stretch/>
                  </pic:blipFill>
                  <pic:spPr bwMode="auto">
                    <a:xfrm>
                      <a:off x="0" y="0"/>
                      <a:ext cx="5830951" cy="3675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0D0D5" w14:textId="3A53A4BA" w:rsidR="00C141BF" w:rsidRDefault="00C141BF" w:rsidP="00C141BF">
      <w:pPr>
        <w:pStyle w:val="DigitalACEheading"/>
      </w:pPr>
      <w:r>
        <w:t>MFL quiz in Google Form</w:t>
      </w:r>
    </w:p>
    <w:p w14:paraId="6D350BC9" w14:textId="4CE010A1" w:rsidR="00C141BF" w:rsidRDefault="00C95C1C">
      <w:r>
        <w:rPr>
          <w:noProof/>
        </w:rPr>
        <w:drawing>
          <wp:inline distT="0" distB="0" distL="0" distR="0" wp14:anchorId="6DD1C479" wp14:editId="002C4EF2">
            <wp:extent cx="5781675" cy="3613385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61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5552" w14:textId="36EFFBC0" w:rsidR="00C141BF" w:rsidRDefault="00C141BF" w:rsidP="00C141BF">
      <w:pPr>
        <w:pStyle w:val="DigitalACEheading"/>
      </w:pPr>
      <w:r>
        <w:lastRenderedPageBreak/>
        <w:t>Individual Learning Journeys (ILJs) using Google sites</w:t>
      </w:r>
    </w:p>
    <w:p w14:paraId="3499CCA2" w14:textId="51214F34" w:rsidR="00C141BF" w:rsidRPr="00200F1A" w:rsidRDefault="00C141BF">
      <w:pPr>
        <w:rPr>
          <w:rFonts w:ascii="Arial" w:hAnsi="Arial" w:cs="Arial"/>
          <w:sz w:val="24"/>
          <w:szCs w:val="24"/>
        </w:rPr>
      </w:pPr>
      <w:r w:rsidRPr="00200F1A">
        <w:rPr>
          <w:rFonts w:ascii="Arial" w:hAnsi="Arial" w:cs="Arial"/>
          <w:sz w:val="24"/>
          <w:szCs w:val="24"/>
        </w:rPr>
        <w:t xml:space="preserve">Newcastle City Learning </w:t>
      </w:r>
      <w:r w:rsidR="00C95C1C" w:rsidRPr="00200F1A">
        <w:rPr>
          <w:rFonts w:ascii="Arial" w:hAnsi="Arial" w:cs="Arial"/>
          <w:sz w:val="24"/>
          <w:szCs w:val="24"/>
        </w:rPr>
        <w:t>are now using Google sites</w:t>
      </w:r>
      <w:r w:rsidRPr="00200F1A">
        <w:rPr>
          <w:rFonts w:ascii="Arial" w:hAnsi="Arial" w:cs="Arial"/>
          <w:sz w:val="24"/>
          <w:szCs w:val="24"/>
        </w:rPr>
        <w:t xml:space="preserve"> for their ILJ’s. </w:t>
      </w:r>
    </w:p>
    <w:p w14:paraId="3AAB76CE" w14:textId="7950AC14" w:rsidR="00C95C1C" w:rsidRPr="00200F1A" w:rsidRDefault="00C141BF">
      <w:pPr>
        <w:rPr>
          <w:rFonts w:ascii="Arial" w:hAnsi="Arial" w:cs="Arial"/>
          <w:sz w:val="24"/>
          <w:szCs w:val="24"/>
        </w:rPr>
      </w:pPr>
      <w:r w:rsidRPr="00200F1A">
        <w:rPr>
          <w:rFonts w:ascii="Arial" w:hAnsi="Arial" w:cs="Arial"/>
          <w:sz w:val="24"/>
          <w:szCs w:val="24"/>
        </w:rPr>
        <w:t>The ILJ is s</w:t>
      </w:r>
      <w:r w:rsidR="00C95C1C" w:rsidRPr="00200F1A">
        <w:rPr>
          <w:rFonts w:ascii="Arial" w:hAnsi="Arial" w:cs="Arial"/>
          <w:sz w:val="24"/>
          <w:szCs w:val="24"/>
        </w:rPr>
        <w:t xml:space="preserve">hared between </w:t>
      </w:r>
      <w:r w:rsidR="000F2C74">
        <w:rPr>
          <w:rFonts w:ascii="Arial" w:hAnsi="Arial" w:cs="Arial"/>
          <w:sz w:val="24"/>
          <w:szCs w:val="24"/>
        </w:rPr>
        <w:t xml:space="preserve">the </w:t>
      </w:r>
      <w:r w:rsidR="00C95C1C" w:rsidRPr="00200F1A">
        <w:rPr>
          <w:rFonts w:ascii="Arial" w:hAnsi="Arial" w:cs="Arial"/>
          <w:sz w:val="24"/>
          <w:szCs w:val="24"/>
        </w:rPr>
        <w:t>learner and tutor</w:t>
      </w:r>
      <w:r w:rsidR="000F2C74">
        <w:rPr>
          <w:rFonts w:ascii="Arial" w:hAnsi="Arial" w:cs="Arial"/>
          <w:sz w:val="24"/>
          <w:szCs w:val="24"/>
        </w:rPr>
        <w:t>,</w:t>
      </w:r>
      <w:r w:rsidRPr="00200F1A">
        <w:rPr>
          <w:rFonts w:ascii="Arial" w:hAnsi="Arial" w:cs="Arial"/>
          <w:sz w:val="24"/>
          <w:szCs w:val="24"/>
        </w:rPr>
        <w:t xml:space="preserve"> with the </w:t>
      </w:r>
      <w:r w:rsidR="00C95C1C" w:rsidRPr="00200F1A">
        <w:rPr>
          <w:rFonts w:ascii="Arial" w:hAnsi="Arial" w:cs="Arial"/>
          <w:sz w:val="24"/>
          <w:szCs w:val="24"/>
        </w:rPr>
        <w:t>learner decid</w:t>
      </w:r>
      <w:r w:rsidRPr="00200F1A">
        <w:rPr>
          <w:rFonts w:ascii="Arial" w:hAnsi="Arial" w:cs="Arial"/>
          <w:sz w:val="24"/>
          <w:szCs w:val="24"/>
        </w:rPr>
        <w:t xml:space="preserve">ing </w:t>
      </w:r>
      <w:r w:rsidR="00C95C1C" w:rsidRPr="00200F1A">
        <w:rPr>
          <w:rFonts w:ascii="Arial" w:hAnsi="Arial" w:cs="Arial"/>
          <w:sz w:val="24"/>
          <w:szCs w:val="24"/>
        </w:rPr>
        <w:t xml:space="preserve">what they want </w:t>
      </w:r>
      <w:r w:rsidR="00C95C1C" w:rsidRPr="0047492E">
        <w:rPr>
          <w:rFonts w:ascii="Arial" w:hAnsi="Arial" w:cs="Arial"/>
          <w:sz w:val="24"/>
          <w:szCs w:val="24"/>
        </w:rPr>
        <w:t xml:space="preserve">to share </w:t>
      </w:r>
      <w:r w:rsidR="000F2C74" w:rsidRPr="0047492E">
        <w:rPr>
          <w:rFonts w:ascii="Arial" w:hAnsi="Arial" w:cs="Arial"/>
          <w:sz w:val="24"/>
          <w:szCs w:val="24"/>
        </w:rPr>
        <w:t xml:space="preserve">and </w:t>
      </w:r>
      <w:r w:rsidR="00C95C1C" w:rsidRPr="0047492E">
        <w:rPr>
          <w:rFonts w:ascii="Arial" w:hAnsi="Arial" w:cs="Arial"/>
          <w:sz w:val="24"/>
          <w:szCs w:val="24"/>
        </w:rPr>
        <w:t xml:space="preserve">when they publish. Work is uploaded to </w:t>
      </w:r>
      <w:r w:rsidR="002D2956" w:rsidRPr="0047492E">
        <w:rPr>
          <w:rFonts w:ascii="Arial" w:hAnsi="Arial" w:cs="Arial"/>
          <w:sz w:val="24"/>
          <w:szCs w:val="24"/>
        </w:rPr>
        <w:t xml:space="preserve">and from an </w:t>
      </w:r>
      <w:r w:rsidR="00C95C1C" w:rsidRPr="0047492E">
        <w:rPr>
          <w:rFonts w:ascii="Arial" w:hAnsi="Arial" w:cs="Arial"/>
          <w:sz w:val="24"/>
          <w:szCs w:val="24"/>
        </w:rPr>
        <w:t>online portfolio, so everything</w:t>
      </w:r>
      <w:r w:rsidRPr="0047492E">
        <w:rPr>
          <w:rFonts w:ascii="Arial" w:hAnsi="Arial" w:cs="Arial"/>
          <w:sz w:val="24"/>
          <w:szCs w:val="24"/>
        </w:rPr>
        <w:t xml:space="preserve"> is</w:t>
      </w:r>
      <w:r w:rsidR="00C95C1C" w:rsidRPr="0047492E">
        <w:rPr>
          <w:rFonts w:ascii="Arial" w:hAnsi="Arial" w:cs="Arial"/>
          <w:sz w:val="24"/>
          <w:szCs w:val="24"/>
        </w:rPr>
        <w:t xml:space="preserve"> in one place</w:t>
      </w:r>
      <w:r w:rsidRPr="0047492E">
        <w:rPr>
          <w:rFonts w:ascii="Arial" w:hAnsi="Arial" w:cs="Arial"/>
          <w:sz w:val="24"/>
          <w:szCs w:val="24"/>
        </w:rPr>
        <w:t>.</w:t>
      </w:r>
    </w:p>
    <w:p w14:paraId="40363872" w14:textId="26E66A63" w:rsidR="00C141BF" w:rsidRPr="00200F1A" w:rsidRDefault="00C141BF" w:rsidP="00C141BF">
      <w:pPr>
        <w:rPr>
          <w:rFonts w:ascii="Arial" w:hAnsi="Arial" w:cs="Arial"/>
          <w:sz w:val="24"/>
          <w:szCs w:val="24"/>
        </w:rPr>
      </w:pPr>
      <w:r w:rsidRPr="00200F1A">
        <w:rPr>
          <w:rFonts w:ascii="Arial" w:hAnsi="Arial" w:cs="Arial"/>
          <w:sz w:val="24"/>
          <w:szCs w:val="24"/>
        </w:rPr>
        <w:t>The series of screen prints below show</w:t>
      </w:r>
      <w:r w:rsidR="000F2C74">
        <w:rPr>
          <w:rFonts w:ascii="Arial" w:hAnsi="Arial" w:cs="Arial"/>
          <w:sz w:val="24"/>
          <w:szCs w:val="24"/>
        </w:rPr>
        <w:t>s</w:t>
      </w:r>
      <w:r w:rsidRPr="00200F1A">
        <w:rPr>
          <w:rFonts w:ascii="Arial" w:hAnsi="Arial" w:cs="Arial"/>
          <w:sz w:val="24"/>
          <w:szCs w:val="24"/>
        </w:rPr>
        <w:t xml:space="preserve"> what an arts ILJ looks like now.  </w:t>
      </w:r>
    </w:p>
    <w:p w14:paraId="385B51A0" w14:textId="446922E7" w:rsidR="00C95C1C" w:rsidRDefault="00C95C1C">
      <w:r>
        <w:rPr>
          <w:noProof/>
        </w:rPr>
        <w:drawing>
          <wp:inline distT="0" distB="0" distL="0" distR="0" wp14:anchorId="04CE952E" wp14:editId="42C86DC2">
            <wp:extent cx="5731510" cy="35820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CE3BE" w14:textId="77777777" w:rsidR="00DA17A2" w:rsidRDefault="00DA17A2"/>
    <w:p w14:paraId="6E65D842" w14:textId="01CA02B1" w:rsidR="00C95C1C" w:rsidRDefault="00C95C1C">
      <w:r>
        <w:rPr>
          <w:noProof/>
        </w:rPr>
        <w:drawing>
          <wp:inline distT="0" distB="0" distL="0" distR="0" wp14:anchorId="74771218" wp14:editId="5FA96D11">
            <wp:extent cx="5731510" cy="35820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5E7CA" w14:textId="3C69B21C" w:rsidR="00C95C1C" w:rsidRDefault="00C95C1C">
      <w:r>
        <w:rPr>
          <w:noProof/>
        </w:rPr>
        <w:lastRenderedPageBreak/>
        <w:drawing>
          <wp:inline distT="0" distB="0" distL="0" distR="0" wp14:anchorId="389E588A" wp14:editId="3B42D48E">
            <wp:extent cx="5731510" cy="35820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2BDF4" w14:textId="77777777" w:rsidR="00DA17A2" w:rsidRDefault="00DA17A2"/>
    <w:p w14:paraId="3D69206A" w14:textId="77777777" w:rsidR="00C95C1C" w:rsidRDefault="00C95C1C">
      <w:pPr>
        <w:rPr>
          <w:noProof/>
        </w:rPr>
      </w:pPr>
      <w:r>
        <w:rPr>
          <w:noProof/>
        </w:rPr>
        <w:drawing>
          <wp:inline distT="0" distB="0" distL="0" distR="0" wp14:anchorId="00B1C65F" wp14:editId="422863D7">
            <wp:extent cx="5731510" cy="35820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5C1C">
        <w:rPr>
          <w:noProof/>
        </w:rPr>
        <w:t xml:space="preserve"> </w:t>
      </w:r>
    </w:p>
    <w:p w14:paraId="0EC7D668" w14:textId="0D2772BB" w:rsidR="00C95C1C" w:rsidRDefault="00C95C1C">
      <w:r>
        <w:rPr>
          <w:noProof/>
        </w:rPr>
        <w:lastRenderedPageBreak/>
        <w:drawing>
          <wp:inline distT="0" distB="0" distL="0" distR="0" wp14:anchorId="507D328F" wp14:editId="791747B9">
            <wp:extent cx="5731510" cy="35820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C1C" w:rsidSect="00C141BF">
      <w:footerReference w:type="default" r:id="rId16"/>
      <w:pgSz w:w="11906" w:h="16838"/>
      <w:pgMar w:top="1134" w:right="1440" w:bottom="1135" w:left="1440" w:header="708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0C5B3" w14:textId="77777777" w:rsidR="002C5BCA" w:rsidRDefault="002C5BCA" w:rsidP="00C141BF">
      <w:pPr>
        <w:spacing w:after="0" w:line="240" w:lineRule="auto"/>
      </w:pPr>
      <w:r>
        <w:separator/>
      </w:r>
    </w:p>
  </w:endnote>
  <w:endnote w:type="continuationSeparator" w:id="0">
    <w:p w14:paraId="7A32297A" w14:textId="77777777" w:rsidR="002C5BCA" w:rsidRDefault="002C5BCA" w:rsidP="00C1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61994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587DB84C" w14:textId="1E963951" w:rsidR="00C141BF" w:rsidRPr="00C141BF" w:rsidRDefault="00C141BF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C141BF">
          <w:rPr>
            <w:rFonts w:ascii="Arial" w:hAnsi="Arial" w:cs="Arial"/>
            <w:sz w:val="18"/>
            <w:szCs w:val="18"/>
          </w:rPr>
          <w:fldChar w:fldCharType="begin"/>
        </w:r>
        <w:r w:rsidRPr="00C141BF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C141BF">
          <w:rPr>
            <w:rFonts w:ascii="Arial" w:hAnsi="Arial" w:cs="Arial"/>
            <w:sz w:val="18"/>
            <w:szCs w:val="18"/>
          </w:rPr>
          <w:fldChar w:fldCharType="separate"/>
        </w:r>
        <w:r w:rsidRPr="00C141BF">
          <w:rPr>
            <w:rFonts w:ascii="Arial" w:hAnsi="Arial" w:cs="Arial"/>
            <w:noProof/>
            <w:sz w:val="18"/>
            <w:szCs w:val="18"/>
          </w:rPr>
          <w:t>2</w:t>
        </w:r>
        <w:r w:rsidRPr="00C141BF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181B6CD1" w14:textId="77777777" w:rsidR="00C141BF" w:rsidRDefault="00C14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25D25" w14:textId="77777777" w:rsidR="002C5BCA" w:rsidRDefault="002C5BCA" w:rsidP="00C141BF">
      <w:pPr>
        <w:spacing w:after="0" w:line="240" w:lineRule="auto"/>
      </w:pPr>
      <w:r>
        <w:separator/>
      </w:r>
    </w:p>
  </w:footnote>
  <w:footnote w:type="continuationSeparator" w:id="0">
    <w:p w14:paraId="58E7E1C0" w14:textId="77777777" w:rsidR="002C5BCA" w:rsidRDefault="002C5BCA" w:rsidP="00C14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109B1"/>
    <w:multiLevelType w:val="multilevel"/>
    <w:tmpl w:val="7BEA1CAA"/>
    <w:lvl w:ilvl="0">
      <w:start w:val="1"/>
      <w:numFmt w:val="decimal"/>
      <w:pStyle w:val="DigitalACEheading"/>
      <w:lvlText w:val="%1."/>
      <w:lvlJc w:val="left"/>
      <w:pPr>
        <w:ind w:left="1920" w:hanging="360"/>
      </w:pPr>
    </w:lvl>
    <w:lvl w:ilvl="1">
      <w:start w:val="1"/>
      <w:numFmt w:val="decimal"/>
      <w:pStyle w:val="DigitalACEsub"/>
      <w:lvlText w:val="%1.%2."/>
      <w:lvlJc w:val="left"/>
      <w:pPr>
        <w:ind w:left="9930" w:hanging="432"/>
      </w:pPr>
    </w:lvl>
    <w:lvl w:ilvl="2">
      <w:start w:val="1"/>
      <w:numFmt w:val="decimal"/>
      <w:pStyle w:val="DigitalACEsub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1C"/>
    <w:rsid w:val="000F2C74"/>
    <w:rsid w:val="00200F1A"/>
    <w:rsid w:val="002C5BCA"/>
    <w:rsid w:val="002D2956"/>
    <w:rsid w:val="00391035"/>
    <w:rsid w:val="00407251"/>
    <w:rsid w:val="0047492E"/>
    <w:rsid w:val="00BE08F9"/>
    <w:rsid w:val="00C141BF"/>
    <w:rsid w:val="00C95C1C"/>
    <w:rsid w:val="00DA17A2"/>
    <w:rsid w:val="00E1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5086"/>
  <w15:chartTrackingRefBased/>
  <w15:docId w15:val="{6BEBB50E-9354-42EE-80B4-E90028DF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Annexes">
    <w:name w:val="DA Annexes"/>
    <w:basedOn w:val="Normal"/>
    <w:link w:val="DAAnnexesChar"/>
    <w:qFormat/>
    <w:rsid w:val="00C141BF"/>
    <w:pPr>
      <w:tabs>
        <w:tab w:val="left" w:pos="0"/>
      </w:tabs>
      <w:autoSpaceDE w:val="0"/>
      <w:autoSpaceDN w:val="0"/>
      <w:adjustRightInd w:val="0"/>
      <w:spacing w:before="120" w:after="120" w:line="240" w:lineRule="auto"/>
      <w:contextualSpacing/>
    </w:pPr>
    <w:rPr>
      <w:rFonts w:ascii="Arial" w:hAnsi="Arial" w:cs="Arial"/>
      <w:b/>
      <w:bCs/>
      <w:color w:val="2A2853"/>
      <w:sz w:val="32"/>
      <w:szCs w:val="32"/>
    </w:rPr>
  </w:style>
  <w:style w:type="character" w:customStyle="1" w:styleId="DAAnnexesChar">
    <w:name w:val="DA Annexes Char"/>
    <w:basedOn w:val="DefaultParagraphFont"/>
    <w:link w:val="DAAnnexes"/>
    <w:rsid w:val="00C141BF"/>
    <w:rPr>
      <w:rFonts w:ascii="Arial" w:hAnsi="Arial" w:cs="Arial"/>
      <w:b/>
      <w:bCs/>
      <w:color w:val="2A2853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41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BF"/>
  </w:style>
  <w:style w:type="paragraph" w:styleId="Footer">
    <w:name w:val="footer"/>
    <w:basedOn w:val="Normal"/>
    <w:link w:val="FooterChar"/>
    <w:uiPriority w:val="99"/>
    <w:unhideWhenUsed/>
    <w:rsid w:val="00C141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BF"/>
  </w:style>
  <w:style w:type="paragraph" w:customStyle="1" w:styleId="DigitalACEheading">
    <w:name w:val="Digital ACE heading"/>
    <w:basedOn w:val="ListParagraph"/>
    <w:link w:val="DigitalACEheadingChar"/>
    <w:qFormat/>
    <w:rsid w:val="00C141BF"/>
    <w:pPr>
      <w:numPr>
        <w:numId w:val="1"/>
      </w:numPr>
      <w:autoSpaceDE w:val="0"/>
      <w:autoSpaceDN w:val="0"/>
      <w:adjustRightInd w:val="0"/>
      <w:spacing w:before="480" w:after="120" w:line="240" w:lineRule="auto"/>
      <w:ind w:left="357" w:hanging="357"/>
      <w:jc w:val="both"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igitalACEheadingChar">
    <w:name w:val="Digital ACE heading Char"/>
    <w:basedOn w:val="DefaultParagraphFont"/>
    <w:link w:val="DigitalACEheading"/>
    <w:rsid w:val="00C141BF"/>
    <w:rPr>
      <w:rFonts w:ascii="Arial" w:hAnsi="Arial" w:cs="Arial"/>
      <w:b/>
      <w:bCs/>
      <w:color w:val="2A2853"/>
      <w:sz w:val="28"/>
      <w:szCs w:val="28"/>
    </w:rPr>
  </w:style>
  <w:style w:type="paragraph" w:customStyle="1" w:styleId="DigitalACEsub">
    <w:name w:val="Digital ACE sub"/>
    <w:basedOn w:val="DigitalACEheading"/>
    <w:qFormat/>
    <w:rsid w:val="00C141BF"/>
    <w:pPr>
      <w:numPr>
        <w:ilvl w:val="1"/>
      </w:numPr>
      <w:ind w:left="792" w:hanging="792"/>
    </w:pPr>
    <w:rPr>
      <w:sz w:val="24"/>
      <w:szCs w:val="24"/>
      <w:lang w:eastAsia="en-GB"/>
    </w:rPr>
  </w:style>
  <w:style w:type="paragraph" w:customStyle="1" w:styleId="DigitalACEsub111">
    <w:name w:val="Digital ACE sub 1.1.1"/>
    <w:basedOn w:val="DigitalACEheading"/>
    <w:qFormat/>
    <w:rsid w:val="00C141BF"/>
    <w:pPr>
      <w:numPr>
        <w:ilvl w:val="2"/>
      </w:numPr>
      <w:ind w:left="851" w:hanging="85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1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</dc:creator>
  <cp:keywords/>
  <dc:description/>
  <cp:lastModifiedBy>charlie</cp:lastModifiedBy>
  <cp:revision>7</cp:revision>
  <dcterms:created xsi:type="dcterms:W3CDTF">2020-09-11T12:51:00Z</dcterms:created>
  <dcterms:modified xsi:type="dcterms:W3CDTF">2020-10-30T10:38:00Z</dcterms:modified>
</cp:coreProperties>
</file>