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03489" w14:textId="0E3DA6C7" w:rsidR="009E02AD" w:rsidRPr="005C7654" w:rsidRDefault="00FD54DF" w:rsidP="00671CED">
      <w:pPr>
        <w:pStyle w:val="ETFBody"/>
        <w:rPr>
          <w:b/>
          <w:bCs/>
          <w:color w:val="0070C0"/>
          <w:sz w:val="48"/>
          <w:szCs w:val="48"/>
        </w:rPr>
      </w:pPr>
      <w:r>
        <w:rPr>
          <w:b/>
          <w:bCs/>
          <w:noProof/>
          <w:color w:val="0070C0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6E33D1E5" wp14:editId="5723A74B">
            <wp:simplePos x="0" y="0"/>
            <wp:positionH relativeFrom="column">
              <wp:posOffset>4456430</wp:posOffset>
            </wp:positionH>
            <wp:positionV relativeFrom="paragraph">
              <wp:posOffset>-701040</wp:posOffset>
            </wp:positionV>
            <wp:extent cx="1973814" cy="861060"/>
            <wp:effectExtent l="0" t="0" r="7620" b="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814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02AD" w:rsidRPr="005C7654">
        <w:rPr>
          <w:b/>
          <w:bCs/>
          <w:color w:val="0070C0"/>
          <w:sz w:val="48"/>
          <w:szCs w:val="48"/>
        </w:rPr>
        <w:t xml:space="preserve">Skills Devolution </w:t>
      </w:r>
      <w:r w:rsidR="003B6D89" w:rsidRPr="005C7654">
        <w:rPr>
          <w:b/>
          <w:bCs/>
          <w:color w:val="0070C0"/>
          <w:sz w:val="48"/>
          <w:szCs w:val="48"/>
        </w:rPr>
        <w:t>2020</w:t>
      </w:r>
    </w:p>
    <w:p w14:paraId="271DF287" w14:textId="75C454D3" w:rsidR="009E02AD" w:rsidRPr="00E66DB8" w:rsidRDefault="009E02AD" w:rsidP="00671CED">
      <w:pPr>
        <w:pStyle w:val="ETFBody"/>
        <w:rPr>
          <w:b/>
          <w:bCs/>
          <w:sz w:val="24"/>
          <w:szCs w:val="24"/>
        </w:rPr>
      </w:pPr>
      <w:r w:rsidRPr="00E66DB8">
        <w:rPr>
          <w:b/>
          <w:bCs/>
          <w:sz w:val="24"/>
          <w:szCs w:val="24"/>
        </w:rPr>
        <w:t xml:space="preserve">For 2020/21 Devolution </w:t>
      </w:r>
      <w:r w:rsidR="00ED3EED" w:rsidRPr="00E66DB8">
        <w:rPr>
          <w:b/>
          <w:bCs/>
          <w:sz w:val="24"/>
          <w:szCs w:val="24"/>
        </w:rPr>
        <w:t xml:space="preserve">is underway in </w:t>
      </w:r>
    </w:p>
    <w:p w14:paraId="3CDE032A" w14:textId="77777777" w:rsidR="00E04816" w:rsidRPr="00E66DB8" w:rsidRDefault="00E04816" w:rsidP="00F86C85">
      <w:pPr>
        <w:pStyle w:val="ETFbullets"/>
        <w:rPr>
          <w:sz w:val="24"/>
          <w:szCs w:val="24"/>
        </w:rPr>
      </w:pPr>
      <w:r w:rsidRPr="00E66DB8">
        <w:rPr>
          <w:sz w:val="24"/>
          <w:szCs w:val="24"/>
        </w:rPr>
        <w:t xml:space="preserve">The Greater Manchester Combined Authority  </w:t>
      </w:r>
    </w:p>
    <w:p w14:paraId="2C2C2758" w14:textId="366AFB9F" w:rsidR="00E04816" w:rsidRPr="00E66DB8" w:rsidRDefault="00E04816" w:rsidP="00F86C85">
      <w:pPr>
        <w:pStyle w:val="ETFbullets"/>
        <w:rPr>
          <w:sz w:val="24"/>
          <w:szCs w:val="24"/>
        </w:rPr>
      </w:pPr>
      <w:r w:rsidRPr="00E66DB8">
        <w:rPr>
          <w:sz w:val="24"/>
          <w:szCs w:val="24"/>
        </w:rPr>
        <w:t xml:space="preserve">The Liverpool City Region Combined Authority </w:t>
      </w:r>
    </w:p>
    <w:p w14:paraId="34EE2094" w14:textId="77777777" w:rsidR="00E04816" w:rsidRPr="00E66DB8" w:rsidRDefault="00E04816" w:rsidP="00F86C85">
      <w:pPr>
        <w:pStyle w:val="ETFbullets"/>
        <w:rPr>
          <w:sz w:val="24"/>
          <w:szCs w:val="24"/>
        </w:rPr>
      </w:pPr>
      <w:r w:rsidRPr="00E66DB8">
        <w:rPr>
          <w:sz w:val="24"/>
          <w:szCs w:val="24"/>
        </w:rPr>
        <w:t xml:space="preserve">The West of England Combined Authority </w:t>
      </w:r>
    </w:p>
    <w:p w14:paraId="2E649DCA" w14:textId="77777777" w:rsidR="00E04816" w:rsidRPr="00E66DB8" w:rsidRDefault="00E04816" w:rsidP="00F86C85">
      <w:pPr>
        <w:pStyle w:val="ETFbullets"/>
        <w:rPr>
          <w:sz w:val="24"/>
          <w:szCs w:val="24"/>
        </w:rPr>
      </w:pPr>
      <w:r w:rsidRPr="00E66DB8">
        <w:rPr>
          <w:sz w:val="24"/>
          <w:szCs w:val="24"/>
        </w:rPr>
        <w:t>The West Midlands Combined Authority (Adult Education Functions)</w:t>
      </w:r>
    </w:p>
    <w:p w14:paraId="650627EC" w14:textId="16A8B731" w:rsidR="00E04816" w:rsidRPr="00E66DB8" w:rsidRDefault="00E04816" w:rsidP="00F86C85">
      <w:pPr>
        <w:pStyle w:val="ETFbullets"/>
        <w:rPr>
          <w:sz w:val="24"/>
          <w:szCs w:val="24"/>
        </w:rPr>
      </w:pPr>
      <w:r w:rsidRPr="00E66DB8">
        <w:rPr>
          <w:sz w:val="24"/>
          <w:szCs w:val="24"/>
        </w:rPr>
        <w:t xml:space="preserve">The Tees Valley Combined Authority </w:t>
      </w:r>
    </w:p>
    <w:p w14:paraId="383664E6" w14:textId="77777777" w:rsidR="00E04816" w:rsidRPr="00E66DB8" w:rsidRDefault="00E04816" w:rsidP="00F86C85">
      <w:pPr>
        <w:pStyle w:val="ETFbullets"/>
        <w:rPr>
          <w:sz w:val="24"/>
          <w:szCs w:val="24"/>
        </w:rPr>
      </w:pPr>
      <w:r w:rsidRPr="00E66DB8">
        <w:rPr>
          <w:sz w:val="24"/>
          <w:szCs w:val="24"/>
        </w:rPr>
        <w:t xml:space="preserve">The Cambridgeshire and Peterborough Combined Authority </w:t>
      </w:r>
    </w:p>
    <w:p w14:paraId="19C98F11" w14:textId="77777777" w:rsidR="00E04816" w:rsidRPr="00E66DB8" w:rsidRDefault="00E04816" w:rsidP="00F86C85">
      <w:pPr>
        <w:pStyle w:val="ETFbullets"/>
        <w:rPr>
          <w:sz w:val="24"/>
          <w:szCs w:val="24"/>
        </w:rPr>
      </w:pPr>
      <w:r w:rsidRPr="00E66DB8">
        <w:rPr>
          <w:sz w:val="24"/>
          <w:szCs w:val="24"/>
        </w:rPr>
        <w:t>The Newcastle Upon Tyne, North Tyneside and Northumberland Combined Authority Greater London Authority</w:t>
      </w:r>
    </w:p>
    <w:p w14:paraId="64824BE7" w14:textId="77777777" w:rsidR="00E04816" w:rsidRPr="00E66DB8" w:rsidRDefault="00E04816" w:rsidP="00E04816">
      <w:pPr>
        <w:pStyle w:val="Questions"/>
        <w:numPr>
          <w:ilvl w:val="0"/>
          <w:numId w:val="0"/>
        </w:numPr>
        <w:ind w:left="426"/>
        <w:rPr>
          <w:sz w:val="24"/>
          <w:szCs w:val="24"/>
        </w:rPr>
      </w:pPr>
    </w:p>
    <w:p w14:paraId="75A6B6C1" w14:textId="77777777" w:rsidR="00E04816" w:rsidRPr="00E66DB8" w:rsidRDefault="00E04816" w:rsidP="00E04816">
      <w:pPr>
        <w:pStyle w:val="Questions"/>
        <w:numPr>
          <w:ilvl w:val="0"/>
          <w:numId w:val="0"/>
        </w:numPr>
        <w:ind w:left="426"/>
        <w:rPr>
          <w:b/>
          <w:bCs/>
          <w:sz w:val="24"/>
          <w:szCs w:val="24"/>
        </w:rPr>
      </w:pPr>
      <w:r w:rsidRPr="00E66DB8">
        <w:rPr>
          <w:b/>
          <w:bCs/>
          <w:sz w:val="24"/>
          <w:szCs w:val="24"/>
        </w:rPr>
        <w:t>2021/2022</w:t>
      </w:r>
    </w:p>
    <w:p w14:paraId="17BE0227" w14:textId="77777777" w:rsidR="00E04816" w:rsidRPr="00E66DB8" w:rsidRDefault="00E04816" w:rsidP="00F86C85">
      <w:pPr>
        <w:pStyle w:val="ETFbullets"/>
        <w:rPr>
          <w:sz w:val="24"/>
          <w:szCs w:val="24"/>
        </w:rPr>
      </w:pPr>
      <w:r w:rsidRPr="00E66DB8">
        <w:rPr>
          <w:sz w:val="24"/>
          <w:szCs w:val="24"/>
        </w:rPr>
        <w:t>Sheffield City Region</w:t>
      </w:r>
    </w:p>
    <w:p w14:paraId="6F654557" w14:textId="74DD15F8" w:rsidR="00E04816" w:rsidRPr="00E66DB8" w:rsidRDefault="00E04816" w:rsidP="00F86C85">
      <w:pPr>
        <w:pStyle w:val="ETFbullets"/>
        <w:rPr>
          <w:sz w:val="24"/>
          <w:szCs w:val="24"/>
        </w:rPr>
      </w:pPr>
      <w:r w:rsidRPr="00E66DB8">
        <w:rPr>
          <w:sz w:val="24"/>
          <w:szCs w:val="24"/>
        </w:rPr>
        <w:t>West Yorkshire</w:t>
      </w:r>
    </w:p>
    <w:p w14:paraId="60A0B27E" w14:textId="0FEC7F17" w:rsidR="009944CA" w:rsidRPr="00E66DB8" w:rsidRDefault="009944CA" w:rsidP="009944CA">
      <w:pPr>
        <w:pStyle w:val="ETFbullets"/>
        <w:numPr>
          <w:ilvl w:val="0"/>
          <w:numId w:val="0"/>
        </w:numPr>
        <w:ind w:left="720" w:hanging="360"/>
        <w:rPr>
          <w:sz w:val="24"/>
          <w:szCs w:val="24"/>
        </w:rPr>
      </w:pPr>
    </w:p>
    <w:p w14:paraId="36890AD8" w14:textId="63544B31" w:rsidR="00574ABF" w:rsidRPr="00E66DB8" w:rsidRDefault="009944CA" w:rsidP="009944CA">
      <w:pPr>
        <w:pStyle w:val="ETFbullets"/>
        <w:numPr>
          <w:ilvl w:val="0"/>
          <w:numId w:val="0"/>
        </w:numPr>
        <w:ind w:left="720" w:hanging="360"/>
        <w:rPr>
          <w:b/>
          <w:bCs/>
          <w:sz w:val="24"/>
          <w:szCs w:val="24"/>
        </w:rPr>
      </w:pPr>
      <w:proofErr w:type="gramStart"/>
      <w:r w:rsidRPr="00E66DB8">
        <w:rPr>
          <w:b/>
          <w:bCs/>
          <w:sz w:val="24"/>
          <w:szCs w:val="24"/>
        </w:rPr>
        <w:t xml:space="preserve">2022 </w:t>
      </w:r>
      <w:r w:rsidR="00574ABF" w:rsidRPr="00E66DB8">
        <w:rPr>
          <w:b/>
          <w:bCs/>
          <w:sz w:val="24"/>
          <w:szCs w:val="24"/>
        </w:rPr>
        <w:t xml:space="preserve"> ------</w:t>
      </w:r>
      <w:proofErr w:type="gramEnd"/>
    </w:p>
    <w:p w14:paraId="7ED45DBC" w14:textId="7ABFD477" w:rsidR="009944CA" w:rsidRPr="00E66DB8" w:rsidRDefault="00574ABF" w:rsidP="009944CA">
      <w:pPr>
        <w:pStyle w:val="ETFbullets"/>
        <w:numPr>
          <w:ilvl w:val="0"/>
          <w:numId w:val="0"/>
        </w:numPr>
        <w:ind w:left="720" w:hanging="360"/>
        <w:rPr>
          <w:sz w:val="24"/>
          <w:szCs w:val="24"/>
        </w:rPr>
      </w:pPr>
      <w:r w:rsidRPr="00E66DB8">
        <w:rPr>
          <w:sz w:val="24"/>
          <w:szCs w:val="24"/>
        </w:rPr>
        <w:t>–</w:t>
      </w:r>
      <w:r w:rsidR="009944CA" w:rsidRPr="00E66DB8">
        <w:rPr>
          <w:sz w:val="24"/>
          <w:szCs w:val="24"/>
        </w:rPr>
        <w:t xml:space="preserve"> </w:t>
      </w:r>
      <w:r w:rsidRPr="00E66DB8">
        <w:rPr>
          <w:sz w:val="24"/>
          <w:szCs w:val="24"/>
        </w:rPr>
        <w:t>further devolution depending on the Devolution WP which has been postposed till Spring 2021</w:t>
      </w:r>
    </w:p>
    <w:p w14:paraId="20029A6F" w14:textId="7989F2A6" w:rsidR="00F86C85" w:rsidRPr="00E66DB8" w:rsidRDefault="00F86C85" w:rsidP="00F86C85">
      <w:pPr>
        <w:pStyle w:val="ETFbullets"/>
        <w:numPr>
          <w:ilvl w:val="0"/>
          <w:numId w:val="0"/>
        </w:numPr>
        <w:rPr>
          <w:sz w:val="24"/>
          <w:szCs w:val="24"/>
        </w:rPr>
      </w:pPr>
    </w:p>
    <w:p w14:paraId="3C2EB993" w14:textId="0792D159" w:rsidR="00F86C85" w:rsidRPr="00E66DB8" w:rsidRDefault="00486DC8" w:rsidP="00F86C85">
      <w:pPr>
        <w:pStyle w:val="ETFbullets"/>
        <w:numPr>
          <w:ilvl w:val="0"/>
          <w:numId w:val="0"/>
        </w:numPr>
        <w:rPr>
          <w:b/>
          <w:bCs/>
          <w:sz w:val="24"/>
          <w:szCs w:val="24"/>
        </w:rPr>
      </w:pPr>
      <w:r w:rsidRPr="00E66DB8">
        <w:rPr>
          <w:b/>
          <w:bCs/>
          <w:sz w:val="24"/>
          <w:szCs w:val="24"/>
        </w:rPr>
        <w:t>Adult</w:t>
      </w:r>
      <w:r w:rsidR="00F86C85" w:rsidRPr="00E66DB8">
        <w:rPr>
          <w:b/>
          <w:bCs/>
          <w:sz w:val="24"/>
          <w:szCs w:val="24"/>
        </w:rPr>
        <w:t xml:space="preserve"> Education Budget</w:t>
      </w:r>
    </w:p>
    <w:p w14:paraId="56E4576B" w14:textId="664768CD" w:rsidR="00F86C85" w:rsidRPr="00E66DB8" w:rsidRDefault="00486DC8" w:rsidP="00EE77C9">
      <w:pPr>
        <w:pStyle w:val="ETFbullets"/>
        <w:rPr>
          <w:sz w:val="24"/>
          <w:szCs w:val="24"/>
        </w:rPr>
      </w:pPr>
      <w:r w:rsidRPr="00E66DB8">
        <w:rPr>
          <w:sz w:val="24"/>
          <w:szCs w:val="24"/>
        </w:rPr>
        <w:t xml:space="preserve">51 % of the Adult Education Budget will be developed from August 2021. </w:t>
      </w:r>
    </w:p>
    <w:p w14:paraId="5C8C6F71" w14:textId="3CDCB883" w:rsidR="00B3371D" w:rsidRPr="00E66DB8" w:rsidRDefault="00B3371D" w:rsidP="00EE77C9">
      <w:pPr>
        <w:pStyle w:val="ETFbullets"/>
        <w:rPr>
          <w:sz w:val="24"/>
          <w:szCs w:val="24"/>
        </w:rPr>
      </w:pPr>
      <w:r w:rsidRPr="00E66DB8">
        <w:rPr>
          <w:sz w:val="24"/>
          <w:szCs w:val="24"/>
        </w:rPr>
        <w:t xml:space="preserve">The MCA’s and the GLA are </w:t>
      </w:r>
      <w:r w:rsidR="00EE77C9" w:rsidRPr="00E66DB8">
        <w:rPr>
          <w:sz w:val="24"/>
          <w:szCs w:val="24"/>
        </w:rPr>
        <w:t>beginning</w:t>
      </w:r>
      <w:r w:rsidRPr="00E66DB8">
        <w:rPr>
          <w:sz w:val="24"/>
          <w:szCs w:val="24"/>
        </w:rPr>
        <w:t xml:space="preserve"> to make changes to funding rules and audit to reflect local needs</w:t>
      </w:r>
      <w:r w:rsidR="009944CA" w:rsidRPr="00E66DB8">
        <w:rPr>
          <w:sz w:val="24"/>
          <w:szCs w:val="24"/>
        </w:rPr>
        <w:t xml:space="preserve">. </w:t>
      </w:r>
    </w:p>
    <w:p w14:paraId="07F71E5D" w14:textId="2E548511" w:rsidR="00E04816" w:rsidRPr="00E66DB8" w:rsidRDefault="00E04816" w:rsidP="00671CED">
      <w:pPr>
        <w:pStyle w:val="ETFBody"/>
        <w:rPr>
          <w:sz w:val="24"/>
          <w:szCs w:val="24"/>
        </w:rPr>
      </w:pPr>
    </w:p>
    <w:p w14:paraId="68462604" w14:textId="29EBDF31" w:rsidR="00671CED" w:rsidRPr="00E66DB8" w:rsidRDefault="005E3ED9" w:rsidP="00671CED">
      <w:pPr>
        <w:pStyle w:val="ETFBody"/>
        <w:rPr>
          <w:b/>
          <w:bCs/>
          <w:color w:val="0070C0"/>
          <w:sz w:val="24"/>
          <w:szCs w:val="24"/>
        </w:rPr>
      </w:pPr>
      <w:r w:rsidRPr="00E66DB8">
        <w:rPr>
          <w:b/>
          <w:bCs/>
          <w:color w:val="0070C0"/>
          <w:sz w:val="24"/>
          <w:szCs w:val="24"/>
        </w:rPr>
        <w:t xml:space="preserve">‘Top Ten Tips’ </w:t>
      </w:r>
      <w:r w:rsidR="00B24FD4" w:rsidRPr="00E66DB8">
        <w:rPr>
          <w:b/>
          <w:bCs/>
          <w:color w:val="0070C0"/>
          <w:sz w:val="24"/>
          <w:szCs w:val="24"/>
        </w:rPr>
        <w:t xml:space="preserve">for </w:t>
      </w:r>
      <w:r w:rsidR="00EE77C9" w:rsidRPr="00E66DB8">
        <w:rPr>
          <w:b/>
          <w:bCs/>
          <w:color w:val="0070C0"/>
          <w:sz w:val="24"/>
          <w:szCs w:val="24"/>
        </w:rPr>
        <w:t xml:space="preserve">managing </w:t>
      </w:r>
      <w:r w:rsidR="00B24FD4" w:rsidRPr="00E66DB8">
        <w:rPr>
          <w:b/>
          <w:bCs/>
          <w:color w:val="0070C0"/>
          <w:sz w:val="24"/>
          <w:szCs w:val="24"/>
        </w:rPr>
        <w:t>skills devolution</w:t>
      </w:r>
      <w:r w:rsidRPr="00E66DB8">
        <w:rPr>
          <w:b/>
          <w:bCs/>
          <w:color w:val="0070C0"/>
          <w:sz w:val="24"/>
          <w:szCs w:val="24"/>
        </w:rPr>
        <w:t xml:space="preserve"> </w:t>
      </w:r>
    </w:p>
    <w:p w14:paraId="3AEE81B6" w14:textId="471A25C3" w:rsidR="00B24FD4" w:rsidRPr="00E66DB8" w:rsidRDefault="00B24FD4" w:rsidP="00ED3EED">
      <w:pPr>
        <w:pStyle w:val="ETFBody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E66DB8">
        <w:rPr>
          <w:sz w:val="24"/>
          <w:szCs w:val="24"/>
        </w:rPr>
        <w:t>Getting started</w:t>
      </w:r>
      <w:r w:rsidR="00ED3EED" w:rsidRPr="00E66DB8">
        <w:rPr>
          <w:sz w:val="24"/>
          <w:szCs w:val="24"/>
        </w:rPr>
        <w:t xml:space="preserve"> and </w:t>
      </w:r>
      <w:r w:rsidR="00D52A23" w:rsidRPr="00E66DB8">
        <w:rPr>
          <w:sz w:val="24"/>
          <w:szCs w:val="24"/>
        </w:rPr>
        <w:t xml:space="preserve">keeping refreshed </w:t>
      </w:r>
    </w:p>
    <w:p w14:paraId="6AF2F9CF" w14:textId="6FAD8433" w:rsidR="00B24FD4" w:rsidRPr="00E66DB8" w:rsidRDefault="00B24FD4" w:rsidP="00ED3EED">
      <w:pPr>
        <w:pStyle w:val="ETFBody"/>
        <w:numPr>
          <w:ilvl w:val="0"/>
          <w:numId w:val="7"/>
        </w:numPr>
        <w:spacing w:after="0" w:line="240" w:lineRule="auto"/>
        <w:contextualSpacing/>
        <w:rPr>
          <w:sz w:val="24"/>
          <w:szCs w:val="24"/>
        </w:rPr>
      </w:pPr>
      <w:r w:rsidRPr="00E66DB8">
        <w:rPr>
          <w:sz w:val="24"/>
          <w:szCs w:val="24"/>
        </w:rPr>
        <w:t>Influencing the vision setting</w:t>
      </w:r>
    </w:p>
    <w:p w14:paraId="06665A1C" w14:textId="77777777" w:rsidR="00B24FD4" w:rsidRPr="00E66DB8" w:rsidRDefault="00B24FD4" w:rsidP="003D0BB4">
      <w:pPr>
        <w:pStyle w:val="ETFBody"/>
        <w:numPr>
          <w:ilvl w:val="0"/>
          <w:numId w:val="7"/>
        </w:numPr>
        <w:ind w:left="714" w:hanging="357"/>
        <w:contextualSpacing/>
        <w:rPr>
          <w:sz w:val="24"/>
          <w:szCs w:val="24"/>
        </w:rPr>
      </w:pPr>
      <w:r w:rsidRPr="00E66DB8">
        <w:rPr>
          <w:sz w:val="24"/>
          <w:szCs w:val="24"/>
        </w:rPr>
        <w:t>Governance</w:t>
      </w:r>
    </w:p>
    <w:p w14:paraId="1F9BAAD5" w14:textId="77777777" w:rsidR="00B24FD4" w:rsidRPr="00E66DB8" w:rsidRDefault="00B24FD4" w:rsidP="003D0BB4">
      <w:pPr>
        <w:pStyle w:val="ETFBody"/>
        <w:numPr>
          <w:ilvl w:val="0"/>
          <w:numId w:val="7"/>
        </w:numPr>
        <w:ind w:left="714" w:hanging="357"/>
        <w:contextualSpacing/>
        <w:rPr>
          <w:sz w:val="24"/>
          <w:szCs w:val="24"/>
        </w:rPr>
      </w:pPr>
      <w:r w:rsidRPr="00E66DB8">
        <w:rPr>
          <w:sz w:val="24"/>
          <w:szCs w:val="24"/>
        </w:rPr>
        <w:t>Knowing what the community wants</w:t>
      </w:r>
    </w:p>
    <w:p w14:paraId="31F56BDF" w14:textId="77777777" w:rsidR="00B24FD4" w:rsidRPr="00E66DB8" w:rsidRDefault="00B24FD4" w:rsidP="003D0BB4">
      <w:pPr>
        <w:pStyle w:val="ETFBody"/>
        <w:numPr>
          <w:ilvl w:val="0"/>
          <w:numId w:val="7"/>
        </w:numPr>
        <w:ind w:left="714" w:hanging="357"/>
        <w:contextualSpacing/>
        <w:rPr>
          <w:sz w:val="24"/>
          <w:szCs w:val="24"/>
        </w:rPr>
      </w:pPr>
      <w:r w:rsidRPr="00E66DB8">
        <w:rPr>
          <w:sz w:val="24"/>
          <w:szCs w:val="24"/>
        </w:rPr>
        <w:t>Describing your offer</w:t>
      </w:r>
    </w:p>
    <w:p w14:paraId="2F381039" w14:textId="77777777" w:rsidR="00B24FD4" w:rsidRPr="00E66DB8" w:rsidRDefault="00B24FD4" w:rsidP="003D0BB4">
      <w:pPr>
        <w:pStyle w:val="ETFBody"/>
        <w:numPr>
          <w:ilvl w:val="0"/>
          <w:numId w:val="7"/>
        </w:numPr>
        <w:ind w:left="714" w:hanging="357"/>
        <w:contextualSpacing/>
        <w:rPr>
          <w:sz w:val="24"/>
          <w:szCs w:val="24"/>
        </w:rPr>
      </w:pPr>
      <w:r w:rsidRPr="00E66DB8">
        <w:rPr>
          <w:sz w:val="24"/>
          <w:szCs w:val="24"/>
        </w:rPr>
        <w:t>Be ready for new relationships</w:t>
      </w:r>
    </w:p>
    <w:p w14:paraId="14D315C1" w14:textId="77777777" w:rsidR="00B24FD4" w:rsidRPr="00E66DB8" w:rsidRDefault="00B24FD4" w:rsidP="003D0BB4">
      <w:pPr>
        <w:pStyle w:val="ETFBody"/>
        <w:numPr>
          <w:ilvl w:val="0"/>
          <w:numId w:val="7"/>
        </w:numPr>
        <w:ind w:left="714" w:hanging="357"/>
        <w:contextualSpacing/>
        <w:rPr>
          <w:sz w:val="24"/>
          <w:szCs w:val="24"/>
        </w:rPr>
      </w:pPr>
      <w:r w:rsidRPr="00E66DB8">
        <w:rPr>
          <w:sz w:val="24"/>
          <w:szCs w:val="24"/>
        </w:rPr>
        <w:t>Start considering new ways of delivery</w:t>
      </w:r>
    </w:p>
    <w:p w14:paraId="00F645B0" w14:textId="77777777" w:rsidR="00B24FD4" w:rsidRPr="00E66DB8" w:rsidRDefault="00B24FD4" w:rsidP="003D0BB4">
      <w:pPr>
        <w:pStyle w:val="ETFBody"/>
        <w:numPr>
          <w:ilvl w:val="0"/>
          <w:numId w:val="7"/>
        </w:numPr>
        <w:ind w:left="714" w:hanging="357"/>
        <w:contextualSpacing/>
        <w:rPr>
          <w:sz w:val="24"/>
          <w:szCs w:val="24"/>
        </w:rPr>
      </w:pPr>
      <w:r w:rsidRPr="00E66DB8">
        <w:rPr>
          <w:sz w:val="24"/>
          <w:szCs w:val="24"/>
        </w:rPr>
        <w:t>Consider outcomes and what you can measure</w:t>
      </w:r>
    </w:p>
    <w:p w14:paraId="02DC29BD" w14:textId="77777777" w:rsidR="00B24FD4" w:rsidRPr="00E66DB8" w:rsidRDefault="00B24FD4" w:rsidP="003D0BB4">
      <w:pPr>
        <w:pStyle w:val="ETFBody"/>
        <w:numPr>
          <w:ilvl w:val="0"/>
          <w:numId w:val="7"/>
        </w:numPr>
        <w:ind w:left="714" w:hanging="357"/>
        <w:contextualSpacing/>
        <w:rPr>
          <w:sz w:val="24"/>
          <w:szCs w:val="24"/>
        </w:rPr>
      </w:pPr>
      <w:r w:rsidRPr="00E66DB8">
        <w:rPr>
          <w:sz w:val="24"/>
          <w:szCs w:val="24"/>
        </w:rPr>
        <w:t>Communicate</w:t>
      </w:r>
    </w:p>
    <w:p w14:paraId="5339DEFF" w14:textId="77777777" w:rsidR="00B24FD4" w:rsidRPr="00E66DB8" w:rsidRDefault="00B24FD4" w:rsidP="003D0BB4">
      <w:pPr>
        <w:pStyle w:val="ETFBody"/>
        <w:numPr>
          <w:ilvl w:val="0"/>
          <w:numId w:val="7"/>
        </w:numPr>
        <w:ind w:left="714" w:hanging="357"/>
        <w:contextualSpacing/>
        <w:rPr>
          <w:sz w:val="24"/>
          <w:szCs w:val="24"/>
        </w:rPr>
      </w:pPr>
      <w:r w:rsidRPr="00E66DB8">
        <w:rPr>
          <w:sz w:val="24"/>
          <w:szCs w:val="24"/>
        </w:rPr>
        <w:t>Develop your staff</w:t>
      </w:r>
    </w:p>
    <w:p w14:paraId="1D4F1E8F" w14:textId="77777777" w:rsidR="00B24FD4" w:rsidRPr="00E66DB8" w:rsidRDefault="00B24FD4" w:rsidP="009E16F8">
      <w:pPr>
        <w:pStyle w:val="ETFBody"/>
        <w:rPr>
          <w:sz w:val="24"/>
          <w:szCs w:val="24"/>
        </w:rPr>
      </w:pPr>
    </w:p>
    <w:p w14:paraId="7F54192E" w14:textId="2E02C849" w:rsidR="00B24FD4" w:rsidRPr="00E66DB8" w:rsidRDefault="00B24FD4" w:rsidP="009E16F8">
      <w:pPr>
        <w:pStyle w:val="ETFheadnonumber"/>
        <w:rPr>
          <w:color w:val="5B9BD5" w:themeColor="accent1"/>
        </w:rPr>
      </w:pPr>
      <w:r w:rsidRPr="00E66DB8">
        <w:rPr>
          <w:color w:val="5B9BD5" w:themeColor="accent1"/>
        </w:rPr>
        <w:t>Tip 1. Getting started</w:t>
      </w:r>
      <w:r w:rsidR="00D52A23" w:rsidRPr="00E66DB8">
        <w:rPr>
          <w:color w:val="5B9BD5" w:themeColor="accent1"/>
        </w:rPr>
        <w:t xml:space="preserve"> and keeping refreshed </w:t>
      </w:r>
    </w:p>
    <w:p w14:paraId="5856F39E" w14:textId="77777777" w:rsidR="003671D5" w:rsidRPr="00E66DB8" w:rsidRDefault="003671D5" w:rsidP="00D52A23">
      <w:pPr>
        <w:pStyle w:val="ETFbullets"/>
        <w:rPr>
          <w:rFonts w:eastAsia="Times New Roman" w:cs="Times New Roman"/>
          <w:sz w:val="24"/>
          <w:szCs w:val="24"/>
          <w:lang w:eastAsia="en-GB"/>
        </w:rPr>
      </w:pPr>
      <w:r w:rsidRPr="00E66DB8">
        <w:rPr>
          <w:sz w:val="24"/>
          <w:szCs w:val="24"/>
          <w:lang w:eastAsia="en-GB"/>
        </w:rPr>
        <w:t>Be proactive, do your own research, don’t wait to be approached.</w:t>
      </w:r>
    </w:p>
    <w:p w14:paraId="1ACCE29F" w14:textId="77777777" w:rsidR="00B24FD4" w:rsidRPr="00E66DB8" w:rsidRDefault="00B24FD4" w:rsidP="00D52A23">
      <w:pPr>
        <w:pStyle w:val="ETFbullets"/>
        <w:rPr>
          <w:rFonts w:eastAsia="Times New Roman" w:cs="Times New Roman"/>
          <w:sz w:val="24"/>
          <w:szCs w:val="24"/>
          <w:lang w:eastAsia="en-GB"/>
        </w:rPr>
      </w:pPr>
      <w:r w:rsidRPr="00E66DB8">
        <w:rPr>
          <w:sz w:val="24"/>
          <w:szCs w:val="24"/>
          <w:lang w:eastAsia="en-GB"/>
        </w:rPr>
        <w:t>Use existing links to build a strong localism partnership across the CA area</w:t>
      </w:r>
      <w:r w:rsidR="00F547B9" w:rsidRPr="00E66DB8">
        <w:rPr>
          <w:sz w:val="24"/>
          <w:szCs w:val="24"/>
          <w:lang w:eastAsia="en-GB"/>
        </w:rPr>
        <w:t>.</w:t>
      </w:r>
    </w:p>
    <w:p w14:paraId="411EA8A8" w14:textId="77777777" w:rsidR="00B24FD4" w:rsidRPr="00E66DB8" w:rsidRDefault="00B24FD4" w:rsidP="00D52A23">
      <w:pPr>
        <w:pStyle w:val="ETFbullets"/>
        <w:rPr>
          <w:sz w:val="24"/>
          <w:szCs w:val="24"/>
        </w:rPr>
      </w:pPr>
      <w:r w:rsidRPr="00E66DB8">
        <w:rPr>
          <w:sz w:val="24"/>
          <w:szCs w:val="24"/>
        </w:rPr>
        <w:lastRenderedPageBreak/>
        <w:t>Establish where in each partner authority the ‘ownership’ of the localism agenda resides. Who will lead/drive devolution across the Combined Authority (CA)?</w:t>
      </w:r>
    </w:p>
    <w:p w14:paraId="50390607" w14:textId="77777777" w:rsidR="00B24FD4" w:rsidRPr="00E66DB8" w:rsidRDefault="00B24FD4" w:rsidP="00D52A23">
      <w:pPr>
        <w:pStyle w:val="ETFbullets"/>
        <w:rPr>
          <w:sz w:val="24"/>
          <w:szCs w:val="24"/>
        </w:rPr>
      </w:pPr>
      <w:r w:rsidRPr="00E66DB8">
        <w:rPr>
          <w:sz w:val="24"/>
          <w:szCs w:val="24"/>
        </w:rPr>
        <w:t>If one does</w:t>
      </w:r>
      <w:r w:rsidR="003671D5" w:rsidRPr="00E66DB8">
        <w:rPr>
          <w:sz w:val="24"/>
          <w:szCs w:val="24"/>
        </w:rPr>
        <w:t xml:space="preserve"> not already exist</w:t>
      </w:r>
      <w:r w:rsidR="00F547B9" w:rsidRPr="00E66DB8">
        <w:rPr>
          <w:sz w:val="24"/>
          <w:szCs w:val="24"/>
        </w:rPr>
        <w:t>,</w:t>
      </w:r>
      <w:r w:rsidR="003671D5" w:rsidRPr="00E66DB8">
        <w:rPr>
          <w:sz w:val="24"/>
          <w:szCs w:val="24"/>
        </w:rPr>
        <w:t xml:space="preserve"> establish an adult community l</w:t>
      </w:r>
      <w:r w:rsidRPr="00E66DB8">
        <w:rPr>
          <w:sz w:val="24"/>
          <w:szCs w:val="24"/>
        </w:rPr>
        <w:t xml:space="preserve">earning </w:t>
      </w:r>
      <w:r w:rsidR="003671D5" w:rsidRPr="00E66DB8">
        <w:rPr>
          <w:sz w:val="24"/>
          <w:szCs w:val="24"/>
        </w:rPr>
        <w:t xml:space="preserve">ACL) </w:t>
      </w:r>
      <w:r w:rsidRPr="00E66DB8">
        <w:rPr>
          <w:sz w:val="24"/>
          <w:szCs w:val="24"/>
        </w:rPr>
        <w:t xml:space="preserve">provider group. </w:t>
      </w:r>
      <w:r w:rsidRPr="00E66DB8">
        <w:rPr>
          <w:sz w:val="24"/>
          <w:szCs w:val="24"/>
          <w:lang w:eastAsia="en-GB"/>
        </w:rPr>
        <w:t>Collect and share local data and intelligence on what ACL delivers, to who, with what outcomes.</w:t>
      </w:r>
    </w:p>
    <w:p w14:paraId="36A921F2" w14:textId="77777777" w:rsidR="00B24FD4" w:rsidRPr="00E66DB8" w:rsidRDefault="00B24FD4" w:rsidP="00D52A23">
      <w:pPr>
        <w:pStyle w:val="ETFbullets"/>
        <w:rPr>
          <w:sz w:val="24"/>
          <w:szCs w:val="24"/>
        </w:rPr>
      </w:pPr>
      <w:r w:rsidRPr="00E66DB8">
        <w:rPr>
          <w:sz w:val="24"/>
          <w:szCs w:val="24"/>
        </w:rPr>
        <w:t>Ensure you have identified the key leaders with an equitable spread of partners with relevant skills &amp; knowledge</w:t>
      </w:r>
      <w:r w:rsidR="003671D5" w:rsidRPr="00E66DB8">
        <w:rPr>
          <w:sz w:val="24"/>
          <w:szCs w:val="24"/>
        </w:rPr>
        <w:t>.</w:t>
      </w:r>
    </w:p>
    <w:p w14:paraId="11880DDE" w14:textId="77777777" w:rsidR="00B24FD4" w:rsidRPr="00E66DB8" w:rsidRDefault="00B24FD4" w:rsidP="00D52A23">
      <w:pPr>
        <w:pStyle w:val="ETFbullets"/>
        <w:rPr>
          <w:sz w:val="24"/>
          <w:szCs w:val="24"/>
        </w:rPr>
      </w:pPr>
      <w:r w:rsidRPr="00E66DB8">
        <w:rPr>
          <w:sz w:val="24"/>
          <w:szCs w:val="24"/>
        </w:rPr>
        <w:t xml:space="preserve">Allow sufficient time for the development of planning and effective stakeholder engagement.  Take people on the journey with you and get political buy-in.  </w:t>
      </w:r>
    </w:p>
    <w:p w14:paraId="2B88C608" w14:textId="77777777" w:rsidR="00B24FD4" w:rsidRPr="00E66DB8" w:rsidRDefault="00B24FD4" w:rsidP="00D52A23">
      <w:pPr>
        <w:pStyle w:val="ETFbullets"/>
        <w:rPr>
          <w:sz w:val="24"/>
          <w:szCs w:val="24"/>
        </w:rPr>
      </w:pPr>
      <w:r w:rsidRPr="00E66DB8">
        <w:rPr>
          <w:sz w:val="24"/>
          <w:szCs w:val="24"/>
        </w:rPr>
        <w:t>Maintain an open dialogue with civil servants</w:t>
      </w:r>
      <w:r w:rsidR="003671D5" w:rsidRPr="00E66DB8">
        <w:rPr>
          <w:sz w:val="24"/>
          <w:szCs w:val="24"/>
        </w:rPr>
        <w:t>, agency staff and key offices in the LEPs</w:t>
      </w:r>
      <w:r w:rsidRPr="00E66DB8">
        <w:rPr>
          <w:sz w:val="24"/>
          <w:szCs w:val="24"/>
        </w:rPr>
        <w:t xml:space="preserve"> to avoid pitfalls further down the line</w:t>
      </w:r>
      <w:r w:rsidR="003671D5" w:rsidRPr="00E66DB8">
        <w:rPr>
          <w:sz w:val="24"/>
          <w:szCs w:val="24"/>
        </w:rPr>
        <w:t>.</w:t>
      </w:r>
    </w:p>
    <w:p w14:paraId="3921E637" w14:textId="77777777" w:rsidR="00690A73" w:rsidRPr="00E66DB8" w:rsidRDefault="00690A73" w:rsidP="006D7693">
      <w:pPr>
        <w:pStyle w:val="Foundationheading1new"/>
        <w:numPr>
          <w:ilvl w:val="0"/>
          <w:numId w:val="0"/>
        </w:numPr>
        <w:ind w:left="360" w:hanging="360"/>
        <w:rPr>
          <w:sz w:val="24"/>
          <w:szCs w:val="24"/>
        </w:rPr>
      </w:pPr>
    </w:p>
    <w:p w14:paraId="6489A67E" w14:textId="77777777" w:rsidR="00B24FD4" w:rsidRPr="00E66DB8" w:rsidRDefault="00B24FD4" w:rsidP="009E16F8">
      <w:pPr>
        <w:pStyle w:val="ETFheadnonumber"/>
        <w:rPr>
          <w:color w:val="0070C0"/>
        </w:rPr>
      </w:pPr>
      <w:r w:rsidRPr="00E66DB8">
        <w:rPr>
          <w:color w:val="0070C0"/>
        </w:rPr>
        <w:t>Tip 2. Influencing the vision setting</w:t>
      </w:r>
    </w:p>
    <w:p w14:paraId="0FC519CD" w14:textId="77777777" w:rsidR="003671D5" w:rsidRPr="00E66DB8" w:rsidRDefault="003671D5" w:rsidP="009E16F8">
      <w:pPr>
        <w:pStyle w:val="ETFbullets"/>
        <w:rPr>
          <w:sz w:val="24"/>
          <w:szCs w:val="24"/>
        </w:rPr>
      </w:pPr>
      <w:r w:rsidRPr="00E66DB8">
        <w:rPr>
          <w:sz w:val="24"/>
          <w:szCs w:val="24"/>
        </w:rPr>
        <w:t xml:space="preserve">Articulate a clear vision for your community learning service and the impact it has in relation to skills/employability across the CA. </w:t>
      </w:r>
    </w:p>
    <w:p w14:paraId="177B81C7" w14:textId="77777777" w:rsidR="003671D5" w:rsidRPr="00E66DB8" w:rsidRDefault="003671D5" w:rsidP="009E16F8">
      <w:pPr>
        <w:pStyle w:val="ETFbullets"/>
        <w:rPr>
          <w:sz w:val="24"/>
          <w:szCs w:val="24"/>
        </w:rPr>
      </w:pPr>
      <w:r w:rsidRPr="00E66DB8">
        <w:rPr>
          <w:sz w:val="24"/>
          <w:szCs w:val="24"/>
        </w:rPr>
        <w:t>Then work together and draft a CA vision.</w:t>
      </w:r>
    </w:p>
    <w:p w14:paraId="782E5A86" w14:textId="77777777" w:rsidR="00B24FD4" w:rsidRPr="00E66DB8" w:rsidRDefault="00B24FD4" w:rsidP="009E16F8">
      <w:pPr>
        <w:pStyle w:val="ETFbullets"/>
        <w:rPr>
          <w:sz w:val="24"/>
          <w:szCs w:val="24"/>
        </w:rPr>
      </w:pPr>
      <w:r w:rsidRPr="00E66DB8">
        <w:rPr>
          <w:sz w:val="24"/>
          <w:szCs w:val="24"/>
        </w:rPr>
        <w:t xml:space="preserve">Holistic approach </w:t>
      </w:r>
      <w:r w:rsidR="00F547B9" w:rsidRPr="00E66DB8">
        <w:rPr>
          <w:sz w:val="24"/>
          <w:szCs w:val="24"/>
        </w:rPr>
        <w:t xml:space="preserve">is </w:t>
      </w:r>
      <w:r w:rsidRPr="00E66DB8">
        <w:rPr>
          <w:sz w:val="24"/>
          <w:szCs w:val="24"/>
        </w:rPr>
        <w:t>crucial – avoid silos of providers/provision</w:t>
      </w:r>
      <w:r w:rsidR="003671D5" w:rsidRPr="00E66DB8">
        <w:rPr>
          <w:sz w:val="24"/>
          <w:szCs w:val="24"/>
        </w:rPr>
        <w:t>.</w:t>
      </w:r>
    </w:p>
    <w:p w14:paraId="2553BF77" w14:textId="77777777" w:rsidR="00B24FD4" w:rsidRPr="00E66DB8" w:rsidRDefault="00B24FD4" w:rsidP="009E16F8">
      <w:pPr>
        <w:pStyle w:val="ETFbullets"/>
        <w:rPr>
          <w:rFonts w:eastAsia="Times New Roman" w:cs="Times New Roman"/>
          <w:sz w:val="24"/>
          <w:szCs w:val="24"/>
          <w:lang w:eastAsia="en-GB"/>
        </w:rPr>
      </w:pPr>
      <w:r w:rsidRPr="00E66DB8">
        <w:rPr>
          <w:sz w:val="24"/>
          <w:szCs w:val="24"/>
          <w:lang w:eastAsia="en-GB"/>
        </w:rPr>
        <w:t>Ensure priorities/skills/structures advocated are embedded throughout the CA area</w:t>
      </w:r>
      <w:r w:rsidR="003671D5" w:rsidRPr="00E66DB8">
        <w:rPr>
          <w:sz w:val="24"/>
          <w:szCs w:val="24"/>
          <w:lang w:eastAsia="en-GB"/>
        </w:rPr>
        <w:t>.</w:t>
      </w:r>
    </w:p>
    <w:p w14:paraId="18E50A94" w14:textId="77777777" w:rsidR="00B24FD4" w:rsidRPr="00E66DB8" w:rsidRDefault="00690A73" w:rsidP="009E16F8">
      <w:pPr>
        <w:pStyle w:val="ETFbullets"/>
        <w:rPr>
          <w:rFonts w:cs="Times New Roman"/>
          <w:sz w:val="24"/>
          <w:szCs w:val="24"/>
          <w:lang w:eastAsia="en-GB"/>
        </w:rPr>
      </w:pPr>
      <w:r w:rsidRPr="00E66DB8">
        <w:rPr>
          <w:sz w:val="24"/>
          <w:szCs w:val="24"/>
          <w:lang w:eastAsia="en-GB"/>
        </w:rPr>
        <w:t xml:space="preserve">   </w:t>
      </w:r>
      <w:r w:rsidR="00B24FD4" w:rsidRPr="00E66DB8">
        <w:rPr>
          <w:sz w:val="24"/>
          <w:szCs w:val="24"/>
          <w:lang w:eastAsia="en-GB"/>
        </w:rPr>
        <w:t>Promote the ACL sector track record and have confidence in what community learning delivers and achieves for local people</w:t>
      </w:r>
      <w:r w:rsidR="003671D5" w:rsidRPr="00E66DB8">
        <w:rPr>
          <w:sz w:val="24"/>
          <w:szCs w:val="24"/>
          <w:lang w:eastAsia="en-GB"/>
        </w:rPr>
        <w:t>.</w:t>
      </w:r>
      <w:r w:rsidR="00B24FD4" w:rsidRPr="00E66DB8">
        <w:rPr>
          <w:sz w:val="24"/>
          <w:szCs w:val="24"/>
          <w:lang w:eastAsia="en-GB"/>
        </w:rPr>
        <w:t xml:space="preserve"> </w:t>
      </w:r>
    </w:p>
    <w:p w14:paraId="25D39B25" w14:textId="77777777" w:rsidR="00B24FD4" w:rsidRPr="00E66DB8" w:rsidRDefault="00B24FD4" w:rsidP="009E16F8">
      <w:pPr>
        <w:pStyle w:val="ETFbullets"/>
        <w:rPr>
          <w:sz w:val="24"/>
          <w:szCs w:val="24"/>
        </w:rPr>
      </w:pPr>
      <w:r w:rsidRPr="00E66DB8">
        <w:rPr>
          <w:sz w:val="24"/>
          <w:szCs w:val="24"/>
          <w:lang w:eastAsia="en-GB"/>
        </w:rPr>
        <w:t>Have the courage to say what you think, to challenge, be challenged and to think the unthinkable about what is delivered in the future</w:t>
      </w:r>
      <w:r w:rsidR="003671D5" w:rsidRPr="00E66DB8">
        <w:rPr>
          <w:sz w:val="24"/>
          <w:szCs w:val="24"/>
          <w:lang w:eastAsia="en-GB"/>
        </w:rPr>
        <w:t>.</w:t>
      </w:r>
    </w:p>
    <w:p w14:paraId="41F3A9F1" w14:textId="77777777" w:rsidR="00B24FD4" w:rsidRPr="00E66DB8" w:rsidRDefault="00B24FD4" w:rsidP="009E16F8">
      <w:pPr>
        <w:pStyle w:val="ETFbullets"/>
        <w:rPr>
          <w:sz w:val="24"/>
          <w:szCs w:val="24"/>
          <w:lang w:eastAsia="en-GB"/>
        </w:rPr>
      </w:pPr>
      <w:r w:rsidRPr="00E66DB8">
        <w:rPr>
          <w:sz w:val="24"/>
          <w:szCs w:val="24"/>
          <w:lang w:eastAsia="en-GB"/>
        </w:rPr>
        <w:t>Ask questions to explore and understand others’ perspectives and build empathy.</w:t>
      </w:r>
    </w:p>
    <w:p w14:paraId="3BCB51AD" w14:textId="77777777" w:rsidR="00B24FD4" w:rsidRPr="00E66DB8" w:rsidRDefault="00B24FD4" w:rsidP="009E16F8">
      <w:pPr>
        <w:pStyle w:val="ETFbullets"/>
        <w:rPr>
          <w:sz w:val="24"/>
          <w:szCs w:val="24"/>
        </w:rPr>
      </w:pPr>
      <w:r w:rsidRPr="00E66DB8">
        <w:rPr>
          <w:sz w:val="24"/>
          <w:szCs w:val="24"/>
        </w:rPr>
        <w:t>Be bold, confident and positive</w:t>
      </w:r>
      <w:r w:rsidR="003671D5" w:rsidRPr="00E66DB8">
        <w:rPr>
          <w:sz w:val="24"/>
          <w:szCs w:val="24"/>
        </w:rPr>
        <w:t>.</w:t>
      </w:r>
    </w:p>
    <w:p w14:paraId="02092C7F" w14:textId="77777777" w:rsidR="00B24FD4" w:rsidRPr="00E66DB8" w:rsidRDefault="00B24FD4" w:rsidP="009E16F8">
      <w:pPr>
        <w:pStyle w:val="ETFbullets"/>
        <w:rPr>
          <w:sz w:val="24"/>
          <w:szCs w:val="24"/>
        </w:rPr>
      </w:pPr>
      <w:r w:rsidRPr="00E66DB8">
        <w:rPr>
          <w:sz w:val="24"/>
          <w:szCs w:val="24"/>
        </w:rPr>
        <w:t>Strategic open thinking – preparedness to give up some things for greater good – more to gain than lose in longer term</w:t>
      </w:r>
      <w:r w:rsidR="003671D5" w:rsidRPr="00E66DB8">
        <w:rPr>
          <w:sz w:val="24"/>
          <w:szCs w:val="24"/>
        </w:rPr>
        <w:t>.</w:t>
      </w:r>
    </w:p>
    <w:p w14:paraId="34FCC507" w14:textId="77777777" w:rsidR="00B24FD4" w:rsidRPr="00E66DB8" w:rsidRDefault="00B24FD4" w:rsidP="009E16F8">
      <w:pPr>
        <w:pStyle w:val="ETFbullets"/>
        <w:rPr>
          <w:sz w:val="24"/>
          <w:szCs w:val="24"/>
        </w:rPr>
      </w:pPr>
      <w:r w:rsidRPr="00E66DB8">
        <w:rPr>
          <w:sz w:val="24"/>
          <w:szCs w:val="24"/>
        </w:rPr>
        <w:t>Clear links between vision and strategy</w:t>
      </w:r>
      <w:r w:rsidR="003671D5" w:rsidRPr="00E66DB8">
        <w:rPr>
          <w:sz w:val="24"/>
          <w:szCs w:val="24"/>
        </w:rPr>
        <w:t>.</w:t>
      </w:r>
    </w:p>
    <w:p w14:paraId="601F5C8F" w14:textId="77777777" w:rsidR="00B24FD4" w:rsidRPr="00E66DB8" w:rsidRDefault="00B24FD4" w:rsidP="00690A73">
      <w:pPr>
        <w:pStyle w:val="ListParagraph"/>
        <w:ind w:hanging="360"/>
        <w:jc w:val="both"/>
        <w:rPr>
          <w:rFonts w:ascii="Georgia" w:hAnsi="Georgia"/>
          <w:color w:val="595959" w:themeColor="text1" w:themeTint="A6"/>
          <w:sz w:val="24"/>
          <w:szCs w:val="24"/>
        </w:rPr>
      </w:pPr>
    </w:p>
    <w:p w14:paraId="2E2EC194" w14:textId="77777777" w:rsidR="00B24FD4" w:rsidRPr="00E66DB8" w:rsidRDefault="00B24FD4" w:rsidP="009E16F8">
      <w:pPr>
        <w:pStyle w:val="ETFheadnonumber"/>
        <w:rPr>
          <w:color w:val="0070C0"/>
        </w:rPr>
      </w:pPr>
      <w:r w:rsidRPr="00E66DB8">
        <w:rPr>
          <w:color w:val="0070C0"/>
        </w:rPr>
        <w:t>Tip 3. Governance</w:t>
      </w:r>
    </w:p>
    <w:p w14:paraId="52C50642" w14:textId="77777777" w:rsidR="00B24FD4" w:rsidRPr="00E66DB8" w:rsidRDefault="00B24FD4" w:rsidP="009E16F8">
      <w:pPr>
        <w:pStyle w:val="ETFbullets"/>
        <w:rPr>
          <w:rFonts w:cs="Times New Roman"/>
          <w:sz w:val="24"/>
          <w:szCs w:val="24"/>
          <w:lang w:eastAsia="en-GB"/>
        </w:rPr>
      </w:pPr>
      <w:r w:rsidRPr="00E66DB8">
        <w:rPr>
          <w:sz w:val="24"/>
          <w:szCs w:val="24"/>
          <w:lang w:eastAsia="en-GB"/>
        </w:rPr>
        <w:t>Make sure you know what structures are in place and find a way to ensure th</w:t>
      </w:r>
      <w:r w:rsidR="00F547B9" w:rsidRPr="00E66DB8">
        <w:rPr>
          <w:sz w:val="24"/>
          <w:szCs w:val="24"/>
          <w:lang w:eastAsia="en-GB"/>
        </w:rPr>
        <w:t xml:space="preserve">e ACL sector is round the table and </w:t>
      </w:r>
      <w:r w:rsidRPr="00E66DB8">
        <w:rPr>
          <w:sz w:val="24"/>
          <w:szCs w:val="24"/>
          <w:lang w:eastAsia="en-GB"/>
        </w:rPr>
        <w:t>has a voice/champion</w:t>
      </w:r>
      <w:r w:rsidR="003671D5" w:rsidRPr="00E66DB8">
        <w:rPr>
          <w:sz w:val="24"/>
          <w:szCs w:val="24"/>
          <w:lang w:eastAsia="en-GB"/>
        </w:rPr>
        <w:t>.</w:t>
      </w:r>
    </w:p>
    <w:p w14:paraId="6B8DF45B" w14:textId="77777777" w:rsidR="00B24FD4" w:rsidRPr="00E66DB8" w:rsidRDefault="00B24FD4" w:rsidP="009E16F8">
      <w:pPr>
        <w:pStyle w:val="ETFbullets"/>
        <w:rPr>
          <w:rFonts w:cs="Times New Roman"/>
          <w:sz w:val="24"/>
          <w:szCs w:val="24"/>
          <w:lang w:eastAsia="en-GB"/>
        </w:rPr>
      </w:pPr>
      <w:r w:rsidRPr="00E66DB8">
        <w:rPr>
          <w:sz w:val="24"/>
          <w:szCs w:val="24"/>
          <w:lang w:eastAsia="en-GB"/>
        </w:rPr>
        <w:t xml:space="preserve">Ensure a voice on any CA area wide employment and skills partnership board. </w:t>
      </w:r>
    </w:p>
    <w:p w14:paraId="3FE433DB" w14:textId="77777777" w:rsidR="00B24FD4" w:rsidRPr="00E66DB8" w:rsidRDefault="00B24FD4" w:rsidP="009E16F8">
      <w:pPr>
        <w:pStyle w:val="ETFbullets"/>
        <w:rPr>
          <w:rFonts w:cs="Times New Roman"/>
          <w:sz w:val="24"/>
          <w:szCs w:val="24"/>
          <w:lang w:eastAsia="en-GB"/>
        </w:rPr>
      </w:pPr>
      <w:r w:rsidRPr="00E66DB8">
        <w:rPr>
          <w:sz w:val="24"/>
          <w:szCs w:val="24"/>
          <w:lang w:eastAsia="en-GB"/>
        </w:rPr>
        <w:t>Provide combined ACL reports on activity and progress on agreed objectives and targets</w:t>
      </w:r>
      <w:r w:rsidR="003671D5" w:rsidRPr="00E66DB8">
        <w:rPr>
          <w:sz w:val="24"/>
          <w:szCs w:val="24"/>
          <w:lang w:eastAsia="en-GB"/>
        </w:rPr>
        <w:t>.</w:t>
      </w:r>
    </w:p>
    <w:p w14:paraId="30A62882" w14:textId="77777777" w:rsidR="00B24FD4" w:rsidRPr="00E66DB8" w:rsidRDefault="00B24FD4" w:rsidP="009E16F8">
      <w:pPr>
        <w:pStyle w:val="ETFbullets"/>
        <w:rPr>
          <w:rFonts w:cs="Times New Roman"/>
          <w:sz w:val="24"/>
          <w:szCs w:val="24"/>
          <w:lang w:eastAsia="en-GB"/>
        </w:rPr>
      </w:pPr>
      <w:r w:rsidRPr="00E66DB8">
        <w:rPr>
          <w:sz w:val="24"/>
          <w:szCs w:val="24"/>
          <w:lang w:eastAsia="en-GB"/>
        </w:rPr>
        <w:t>Work to ensure the effectiveness of the partnership is monitored regularly.  Where necessary</w:t>
      </w:r>
      <w:r w:rsidR="006A080A" w:rsidRPr="00E66DB8">
        <w:rPr>
          <w:sz w:val="24"/>
          <w:szCs w:val="24"/>
          <w:lang w:eastAsia="en-GB"/>
        </w:rPr>
        <w:t>,</w:t>
      </w:r>
      <w:r w:rsidRPr="00E66DB8">
        <w:rPr>
          <w:sz w:val="24"/>
          <w:szCs w:val="24"/>
          <w:lang w:eastAsia="en-GB"/>
        </w:rPr>
        <w:t xml:space="preserve"> agree</w:t>
      </w:r>
      <w:r w:rsidR="006A080A" w:rsidRPr="00E66DB8">
        <w:rPr>
          <w:sz w:val="24"/>
          <w:szCs w:val="24"/>
          <w:lang w:eastAsia="en-GB"/>
        </w:rPr>
        <w:t>,</w:t>
      </w:r>
      <w:r w:rsidRPr="00E66DB8">
        <w:rPr>
          <w:sz w:val="24"/>
          <w:szCs w:val="24"/>
          <w:lang w:eastAsia="en-GB"/>
        </w:rPr>
        <w:t xml:space="preserve"> update and refresh priorities in the light of changing circumstances locally.</w:t>
      </w:r>
    </w:p>
    <w:p w14:paraId="716CD5CB" w14:textId="77777777" w:rsidR="00B24FD4" w:rsidRPr="00E66DB8" w:rsidRDefault="00B24FD4" w:rsidP="00690A73">
      <w:pPr>
        <w:spacing w:after="0" w:line="240" w:lineRule="auto"/>
        <w:ind w:left="360"/>
        <w:jc w:val="both"/>
        <w:rPr>
          <w:rFonts w:ascii="Georgia" w:eastAsia="Times New Roman" w:hAnsi="Georgia" w:cs="Times New Roman"/>
          <w:color w:val="595959" w:themeColor="text1" w:themeTint="A6"/>
          <w:sz w:val="24"/>
          <w:szCs w:val="24"/>
          <w:lang w:eastAsia="en-GB"/>
        </w:rPr>
      </w:pPr>
    </w:p>
    <w:p w14:paraId="7752D364" w14:textId="77777777" w:rsidR="00B24FD4" w:rsidRPr="00E66DB8" w:rsidRDefault="00B24FD4" w:rsidP="009E16F8">
      <w:pPr>
        <w:pStyle w:val="ETFheadnonumber"/>
        <w:rPr>
          <w:color w:val="0070C0"/>
        </w:rPr>
      </w:pPr>
      <w:r w:rsidRPr="00E66DB8">
        <w:rPr>
          <w:color w:val="0070C0"/>
        </w:rPr>
        <w:lastRenderedPageBreak/>
        <w:t>Tip 4. Knowing what the community wants</w:t>
      </w:r>
    </w:p>
    <w:p w14:paraId="3F848CE7" w14:textId="77777777" w:rsidR="00B24FD4" w:rsidRPr="00E66DB8" w:rsidRDefault="00B24FD4" w:rsidP="009E16F8">
      <w:pPr>
        <w:pStyle w:val="ETFbullets"/>
        <w:rPr>
          <w:sz w:val="24"/>
          <w:szCs w:val="24"/>
        </w:rPr>
      </w:pPr>
      <w:r w:rsidRPr="00E66DB8">
        <w:rPr>
          <w:sz w:val="24"/>
          <w:szCs w:val="24"/>
        </w:rPr>
        <w:t>Remain grounded in relation to needs of the community/residents/learners</w:t>
      </w:r>
      <w:r w:rsidR="003671D5" w:rsidRPr="00E66DB8">
        <w:rPr>
          <w:sz w:val="24"/>
          <w:szCs w:val="24"/>
        </w:rPr>
        <w:t>.</w:t>
      </w:r>
    </w:p>
    <w:p w14:paraId="5B1E5135" w14:textId="77777777" w:rsidR="003671D5" w:rsidRPr="00E66DB8" w:rsidRDefault="003671D5" w:rsidP="009E16F8">
      <w:pPr>
        <w:pStyle w:val="ETFbullets"/>
        <w:rPr>
          <w:sz w:val="24"/>
          <w:szCs w:val="24"/>
        </w:rPr>
      </w:pPr>
      <w:r w:rsidRPr="00E66DB8">
        <w:rPr>
          <w:sz w:val="24"/>
          <w:szCs w:val="24"/>
        </w:rPr>
        <w:t>Understand the LEP</w:t>
      </w:r>
      <w:r w:rsidR="006A080A" w:rsidRPr="00E66DB8">
        <w:rPr>
          <w:sz w:val="24"/>
          <w:szCs w:val="24"/>
        </w:rPr>
        <w:t>’</w:t>
      </w:r>
      <w:r w:rsidRPr="00E66DB8">
        <w:rPr>
          <w:sz w:val="24"/>
          <w:szCs w:val="24"/>
        </w:rPr>
        <w:t>s skills plan</w:t>
      </w:r>
      <w:r w:rsidR="006A080A" w:rsidRPr="00E66DB8">
        <w:rPr>
          <w:sz w:val="24"/>
          <w:szCs w:val="24"/>
        </w:rPr>
        <w:t xml:space="preserve"> </w:t>
      </w:r>
      <w:r w:rsidRPr="00E66DB8">
        <w:rPr>
          <w:sz w:val="24"/>
          <w:szCs w:val="24"/>
        </w:rPr>
        <w:t>- match your provision.</w:t>
      </w:r>
    </w:p>
    <w:p w14:paraId="351E4F8C" w14:textId="77777777" w:rsidR="00B24FD4" w:rsidRPr="00E66DB8" w:rsidRDefault="00B24FD4" w:rsidP="009E16F8">
      <w:pPr>
        <w:pStyle w:val="ETFbullets"/>
        <w:rPr>
          <w:sz w:val="24"/>
          <w:szCs w:val="24"/>
        </w:rPr>
      </w:pPr>
      <w:r w:rsidRPr="00E66DB8">
        <w:rPr>
          <w:sz w:val="24"/>
          <w:szCs w:val="24"/>
        </w:rPr>
        <w:t>Use existing local networks with the third sector and business partners</w:t>
      </w:r>
      <w:r w:rsidR="003671D5" w:rsidRPr="00E66DB8">
        <w:rPr>
          <w:sz w:val="24"/>
          <w:szCs w:val="24"/>
        </w:rPr>
        <w:t xml:space="preserve"> to ascertain need.</w:t>
      </w:r>
    </w:p>
    <w:p w14:paraId="66DE79E9" w14:textId="77777777" w:rsidR="003671D5" w:rsidRPr="00E66DB8" w:rsidRDefault="003671D5" w:rsidP="009E16F8">
      <w:pPr>
        <w:pStyle w:val="ETFbullets"/>
        <w:rPr>
          <w:sz w:val="24"/>
          <w:szCs w:val="24"/>
        </w:rPr>
      </w:pPr>
      <w:r w:rsidRPr="00E66DB8">
        <w:rPr>
          <w:sz w:val="24"/>
          <w:szCs w:val="24"/>
        </w:rPr>
        <w:t>Ensure existing and prospective student</w:t>
      </w:r>
      <w:r w:rsidR="006A080A" w:rsidRPr="00E66DB8">
        <w:rPr>
          <w:sz w:val="24"/>
          <w:szCs w:val="24"/>
        </w:rPr>
        <w:t>s</w:t>
      </w:r>
      <w:r w:rsidRPr="00E66DB8">
        <w:rPr>
          <w:sz w:val="24"/>
          <w:szCs w:val="24"/>
        </w:rPr>
        <w:t xml:space="preserve"> ha</w:t>
      </w:r>
      <w:r w:rsidR="006A080A" w:rsidRPr="00E66DB8">
        <w:rPr>
          <w:sz w:val="24"/>
          <w:szCs w:val="24"/>
        </w:rPr>
        <w:t>ve</w:t>
      </w:r>
      <w:r w:rsidRPr="00E66DB8">
        <w:rPr>
          <w:sz w:val="24"/>
          <w:szCs w:val="24"/>
        </w:rPr>
        <w:t xml:space="preserve"> a voice in any discussion. </w:t>
      </w:r>
    </w:p>
    <w:p w14:paraId="7FF7C77E" w14:textId="77777777" w:rsidR="00B24FD4" w:rsidRPr="00E66DB8" w:rsidRDefault="00B24FD4" w:rsidP="009E16F8">
      <w:pPr>
        <w:pStyle w:val="ETFbullets"/>
        <w:rPr>
          <w:sz w:val="24"/>
          <w:szCs w:val="24"/>
        </w:rPr>
      </w:pPr>
      <w:r w:rsidRPr="00E66DB8">
        <w:rPr>
          <w:sz w:val="24"/>
          <w:szCs w:val="24"/>
        </w:rPr>
        <w:t>Utilise new community networks or social media forums established locally in response to the localism agenda developments</w:t>
      </w:r>
      <w:r w:rsidR="003671D5" w:rsidRPr="00E66DB8">
        <w:rPr>
          <w:sz w:val="24"/>
          <w:szCs w:val="24"/>
        </w:rPr>
        <w:t>.</w:t>
      </w:r>
    </w:p>
    <w:p w14:paraId="5FAD2388" w14:textId="77777777" w:rsidR="00B24FD4" w:rsidRPr="00E66DB8" w:rsidRDefault="00B24FD4" w:rsidP="00690A73">
      <w:pPr>
        <w:pStyle w:val="ListParagraph"/>
        <w:ind w:left="1440"/>
        <w:jc w:val="both"/>
        <w:rPr>
          <w:rFonts w:ascii="Georgia" w:hAnsi="Georgia"/>
          <w:color w:val="595959" w:themeColor="text1" w:themeTint="A6"/>
          <w:sz w:val="24"/>
          <w:szCs w:val="24"/>
        </w:rPr>
      </w:pPr>
    </w:p>
    <w:p w14:paraId="103914DE" w14:textId="77777777" w:rsidR="00B24FD4" w:rsidRPr="00E66DB8" w:rsidRDefault="00B24FD4" w:rsidP="009E16F8">
      <w:pPr>
        <w:pStyle w:val="ETFheadnonumber"/>
        <w:rPr>
          <w:color w:val="0070C0"/>
        </w:rPr>
      </w:pPr>
      <w:r w:rsidRPr="00E66DB8">
        <w:rPr>
          <w:color w:val="0070C0"/>
        </w:rPr>
        <w:t>Tip 5. Describing your offer</w:t>
      </w:r>
    </w:p>
    <w:p w14:paraId="78E230CF" w14:textId="77777777" w:rsidR="00B24FD4" w:rsidRPr="00E66DB8" w:rsidRDefault="00B24FD4" w:rsidP="009E16F8">
      <w:pPr>
        <w:pStyle w:val="ETFbullets"/>
        <w:rPr>
          <w:sz w:val="24"/>
          <w:szCs w:val="24"/>
        </w:rPr>
      </w:pPr>
      <w:r w:rsidRPr="00E66DB8">
        <w:rPr>
          <w:sz w:val="24"/>
          <w:szCs w:val="24"/>
        </w:rPr>
        <w:t>Emphasise importance of below and up to Level 2 work, backed up by local data on qualification levels</w:t>
      </w:r>
      <w:r w:rsidR="006A080A" w:rsidRPr="00E66DB8">
        <w:rPr>
          <w:sz w:val="24"/>
          <w:szCs w:val="24"/>
        </w:rPr>
        <w:t>.</w:t>
      </w:r>
    </w:p>
    <w:p w14:paraId="18775CD4" w14:textId="77777777" w:rsidR="00B24FD4" w:rsidRPr="00E66DB8" w:rsidRDefault="00B24FD4" w:rsidP="009E16F8">
      <w:pPr>
        <w:pStyle w:val="ETFbullets"/>
        <w:rPr>
          <w:sz w:val="24"/>
          <w:szCs w:val="24"/>
        </w:rPr>
      </w:pPr>
      <w:r w:rsidRPr="00E66DB8">
        <w:rPr>
          <w:sz w:val="24"/>
          <w:szCs w:val="24"/>
        </w:rPr>
        <w:t>Highlight the role of ‘soft skills’ in promoting employment opportunities</w:t>
      </w:r>
      <w:r w:rsidR="006A080A" w:rsidRPr="00E66DB8">
        <w:rPr>
          <w:sz w:val="24"/>
          <w:szCs w:val="24"/>
        </w:rPr>
        <w:t>.</w:t>
      </w:r>
    </w:p>
    <w:p w14:paraId="3630EC96" w14:textId="77777777" w:rsidR="00B24FD4" w:rsidRPr="00E66DB8" w:rsidRDefault="00B24FD4" w:rsidP="009E16F8">
      <w:pPr>
        <w:pStyle w:val="ETFbullets"/>
        <w:rPr>
          <w:sz w:val="24"/>
          <w:szCs w:val="24"/>
        </w:rPr>
      </w:pPr>
      <w:r w:rsidRPr="00E66DB8">
        <w:rPr>
          <w:sz w:val="24"/>
          <w:szCs w:val="24"/>
        </w:rPr>
        <w:t>Create new marketing networks across the CA area to identify community needs and publicise the offer.</w:t>
      </w:r>
      <w:r w:rsidR="00690A73" w:rsidRPr="00E66DB8">
        <w:rPr>
          <w:sz w:val="24"/>
          <w:szCs w:val="24"/>
        </w:rPr>
        <w:tab/>
      </w:r>
    </w:p>
    <w:p w14:paraId="0DF0F97B" w14:textId="77777777" w:rsidR="003671D5" w:rsidRPr="00E66DB8" w:rsidRDefault="00E30AA1" w:rsidP="009E16F8">
      <w:pPr>
        <w:pStyle w:val="ETFbullets"/>
        <w:rPr>
          <w:sz w:val="24"/>
          <w:szCs w:val="24"/>
        </w:rPr>
      </w:pPr>
      <w:r w:rsidRPr="00E66DB8">
        <w:rPr>
          <w:sz w:val="24"/>
          <w:szCs w:val="24"/>
        </w:rPr>
        <w:t>Work with other service</w:t>
      </w:r>
      <w:r w:rsidR="006A080A" w:rsidRPr="00E66DB8">
        <w:rPr>
          <w:sz w:val="24"/>
          <w:szCs w:val="24"/>
        </w:rPr>
        <w:t>s (</w:t>
      </w:r>
      <w:r w:rsidRPr="00E66DB8">
        <w:rPr>
          <w:sz w:val="24"/>
          <w:szCs w:val="24"/>
        </w:rPr>
        <w:t>for example</w:t>
      </w:r>
      <w:r w:rsidR="006A080A" w:rsidRPr="00E66DB8">
        <w:rPr>
          <w:sz w:val="24"/>
          <w:szCs w:val="24"/>
        </w:rPr>
        <w:t>, H</w:t>
      </w:r>
      <w:r w:rsidRPr="00E66DB8">
        <w:rPr>
          <w:sz w:val="24"/>
          <w:szCs w:val="24"/>
        </w:rPr>
        <w:t>ealth</w:t>
      </w:r>
      <w:r w:rsidR="006A080A" w:rsidRPr="00E66DB8">
        <w:rPr>
          <w:sz w:val="24"/>
          <w:szCs w:val="24"/>
        </w:rPr>
        <w:t>)</w:t>
      </w:r>
      <w:r w:rsidRPr="00E66DB8">
        <w:rPr>
          <w:sz w:val="24"/>
          <w:szCs w:val="24"/>
        </w:rPr>
        <w:t xml:space="preserve"> to describe the difference your service makes to well-being and social integration. </w:t>
      </w:r>
    </w:p>
    <w:p w14:paraId="709FA5FE" w14:textId="77777777" w:rsidR="00B24FD4" w:rsidRPr="00E66DB8" w:rsidRDefault="00B24FD4" w:rsidP="006D7693">
      <w:pPr>
        <w:pStyle w:val="ETFbullets"/>
        <w:numPr>
          <w:ilvl w:val="0"/>
          <w:numId w:val="0"/>
        </w:numPr>
        <w:ind w:left="720"/>
        <w:rPr>
          <w:sz w:val="24"/>
          <w:szCs w:val="24"/>
        </w:rPr>
      </w:pPr>
    </w:p>
    <w:p w14:paraId="37AFF7F6" w14:textId="77777777" w:rsidR="00B24FD4" w:rsidRPr="00E66DB8" w:rsidRDefault="00B24FD4" w:rsidP="009E16F8">
      <w:pPr>
        <w:pStyle w:val="ETFheadnonumber"/>
        <w:rPr>
          <w:color w:val="0070C0"/>
        </w:rPr>
      </w:pPr>
      <w:r w:rsidRPr="00E66DB8">
        <w:rPr>
          <w:color w:val="0070C0"/>
        </w:rPr>
        <w:t xml:space="preserve">Tip </w:t>
      </w:r>
      <w:r w:rsidR="00444177" w:rsidRPr="00E66DB8">
        <w:rPr>
          <w:color w:val="0070C0"/>
        </w:rPr>
        <w:t>6</w:t>
      </w:r>
      <w:r w:rsidRPr="00E66DB8">
        <w:rPr>
          <w:color w:val="0070C0"/>
        </w:rPr>
        <w:t>. Be ready for new relationships</w:t>
      </w:r>
    </w:p>
    <w:p w14:paraId="74C8676A" w14:textId="77777777" w:rsidR="00B24FD4" w:rsidRPr="00E66DB8" w:rsidRDefault="00B24FD4" w:rsidP="009E16F8">
      <w:pPr>
        <w:pStyle w:val="ETFbullets"/>
        <w:rPr>
          <w:rFonts w:cs="Times New Roman"/>
          <w:sz w:val="24"/>
          <w:szCs w:val="24"/>
          <w:lang w:eastAsia="en-GB"/>
        </w:rPr>
      </w:pPr>
      <w:r w:rsidRPr="00E66DB8">
        <w:rPr>
          <w:sz w:val="24"/>
          <w:szCs w:val="24"/>
          <w:lang w:eastAsia="en-GB"/>
        </w:rPr>
        <w:t>Challenge previous assumptions and create new alliances</w:t>
      </w:r>
      <w:r w:rsidR="00E30AA1" w:rsidRPr="00E66DB8">
        <w:rPr>
          <w:sz w:val="24"/>
          <w:szCs w:val="24"/>
          <w:lang w:eastAsia="en-GB"/>
        </w:rPr>
        <w:t>.</w:t>
      </w:r>
    </w:p>
    <w:p w14:paraId="47343F8C" w14:textId="77777777" w:rsidR="00B24FD4" w:rsidRPr="00E66DB8" w:rsidRDefault="00B24FD4" w:rsidP="009E16F8">
      <w:pPr>
        <w:pStyle w:val="ETFbullets"/>
        <w:rPr>
          <w:sz w:val="24"/>
          <w:szCs w:val="24"/>
        </w:rPr>
      </w:pPr>
      <w:r w:rsidRPr="00E66DB8">
        <w:rPr>
          <w:sz w:val="24"/>
          <w:szCs w:val="24"/>
        </w:rPr>
        <w:t>Utilise all available resources and people – design and d</w:t>
      </w:r>
      <w:r w:rsidR="00E30AA1" w:rsidRPr="00E66DB8">
        <w:rPr>
          <w:sz w:val="24"/>
          <w:szCs w:val="24"/>
        </w:rPr>
        <w:t>evelop with strategic partner</w:t>
      </w:r>
      <w:r w:rsidR="00483B17" w:rsidRPr="00E66DB8">
        <w:rPr>
          <w:sz w:val="24"/>
          <w:szCs w:val="24"/>
        </w:rPr>
        <w:t>’</w:t>
      </w:r>
      <w:r w:rsidR="00E30AA1" w:rsidRPr="00E66DB8">
        <w:rPr>
          <w:sz w:val="24"/>
          <w:szCs w:val="24"/>
        </w:rPr>
        <w:t>s business p</w:t>
      </w:r>
      <w:r w:rsidRPr="00E66DB8">
        <w:rPr>
          <w:sz w:val="24"/>
          <w:szCs w:val="24"/>
        </w:rPr>
        <w:t>ar</w:t>
      </w:r>
      <w:r w:rsidR="00E30AA1" w:rsidRPr="00E66DB8">
        <w:rPr>
          <w:sz w:val="24"/>
          <w:szCs w:val="24"/>
        </w:rPr>
        <w:t>tnerships, DWP, public health, t</w:t>
      </w:r>
      <w:r w:rsidRPr="00E66DB8">
        <w:rPr>
          <w:sz w:val="24"/>
          <w:szCs w:val="24"/>
        </w:rPr>
        <w:t>hird sector partners</w:t>
      </w:r>
      <w:r w:rsidR="00E30AA1" w:rsidRPr="00E66DB8">
        <w:rPr>
          <w:sz w:val="24"/>
          <w:szCs w:val="24"/>
        </w:rPr>
        <w:t>.</w:t>
      </w:r>
    </w:p>
    <w:p w14:paraId="3A76C962" w14:textId="77777777" w:rsidR="00B24FD4" w:rsidRPr="00E66DB8" w:rsidRDefault="00E30AA1" w:rsidP="009E16F8">
      <w:pPr>
        <w:pStyle w:val="ETFbullets"/>
        <w:rPr>
          <w:sz w:val="24"/>
          <w:szCs w:val="24"/>
        </w:rPr>
      </w:pPr>
      <w:r w:rsidRPr="00E66DB8">
        <w:rPr>
          <w:sz w:val="24"/>
          <w:szCs w:val="24"/>
        </w:rPr>
        <w:t>Establish k</w:t>
      </w:r>
      <w:r w:rsidR="00B24FD4" w:rsidRPr="00E66DB8">
        <w:rPr>
          <w:sz w:val="24"/>
          <w:szCs w:val="24"/>
        </w:rPr>
        <w:t>ey features</w:t>
      </w:r>
      <w:r w:rsidRPr="00E66DB8">
        <w:rPr>
          <w:sz w:val="24"/>
          <w:szCs w:val="24"/>
        </w:rPr>
        <w:t xml:space="preserve"> of good relationships including</w:t>
      </w:r>
      <w:r w:rsidR="00B24FD4" w:rsidRPr="00E66DB8">
        <w:rPr>
          <w:sz w:val="24"/>
          <w:szCs w:val="24"/>
        </w:rPr>
        <w:t xml:space="preserve"> clear lines of communication, agreed and defined protocols, guidance on data sharing, mec</w:t>
      </w:r>
      <w:r w:rsidRPr="00E66DB8">
        <w:rPr>
          <w:sz w:val="24"/>
          <w:szCs w:val="24"/>
        </w:rPr>
        <w:t xml:space="preserve">hanisms for quality monitoring and </w:t>
      </w:r>
      <w:r w:rsidR="00B24FD4" w:rsidRPr="00E66DB8">
        <w:rPr>
          <w:sz w:val="24"/>
          <w:szCs w:val="24"/>
        </w:rPr>
        <w:t>robust financial reporting.</w:t>
      </w:r>
    </w:p>
    <w:p w14:paraId="7A18812D" w14:textId="77777777" w:rsidR="00B24FD4" w:rsidRPr="00E66DB8" w:rsidRDefault="00B24FD4" w:rsidP="009E16F8">
      <w:pPr>
        <w:pStyle w:val="ETFbullets"/>
        <w:rPr>
          <w:rFonts w:cs="Times New Roman"/>
          <w:sz w:val="24"/>
          <w:szCs w:val="24"/>
          <w:lang w:eastAsia="en-GB"/>
        </w:rPr>
      </w:pPr>
      <w:r w:rsidRPr="00E66DB8">
        <w:rPr>
          <w:sz w:val="24"/>
          <w:szCs w:val="24"/>
          <w:lang w:eastAsia="en-GB"/>
        </w:rPr>
        <w:t>Be prepared</w:t>
      </w:r>
      <w:r w:rsidR="00483B17" w:rsidRPr="00E66DB8">
        <w:rPr>
          <w:sz w:val="24"/>
          <w:szCs w:val="24"/>
          <w:lang w:eastAsia="en-GB"/>
        </w:rPr>
        <w:t xml:space="preserve"> to give something up.</w:t>
      </w:r>
    </w:p>
    <w:p w14:paraId="54C673AB" w14:textId="77777777" w:rsidR="006D7693" w:rsidRPr="00E66DB8" w:rsidRDefault="006D7693" w:rsidP="009E16F8">
      <w:pPr>
        <w:pStyle w:val="ETFheadnonumber"/>
        <w:rPr>
          <w:color w:val="0070C0"/>
        </w:rPr>
      </w:pPr>
    </w:p>
    <w:p w14:paraId="5352B7CA" w14:textId="2AC7E0A9" w:rsidR="00B24FD4" w:rsidRPr="00E66DB8" w:rsidRDefault="00B24FD4" w:rsidP="00795AB4">
      <w:pPr>
        <w:pStyle w:val="ETFheadnonumber"/>
        <w:rPr>
          <w:color w:val="0070C0"/>
        </w:rPr>
      </w:pPr>
      <w:r w:rsidRPr="00E66DB8">
        <w:rPr>
          <w:color w:val="0070C0"/>
        </w:rPr>
        <w:t xml:space="preserve">Tip </w:t>
      </w:r>
      <w:r w:rsidR="00444177" w:rsidRPr="00E66DB8">
        <w:rPr>
          <w:color w:val="0070C0"/>
        </w:rPr>
        <w:t>7</w:t>
      </w:r>
      <w:r w:rsidRPr="00E66DB8">
        <w:rPr>
          <w:color w:val="0070C0"/>
        </w:rPr>
        <w:t>. Start considering new ways of delivery</w:t>
      </w:r>
      <w:r w:rsidR="00483B17" w:rsidRPr="00E66DB8">
        <w:t>.</w:t>
      </w:r>
    </w:p>
    <w:p w14:paraId="27619188" w14:textId="77777777" w:rsidR="00B24FD4" w:rsidRPr="00E66DB8" w:rsidRDefault="00B24FD4" w:rsidP="009E16F8">
      <w:pPr>
        <w:pStyle w:val="ETFbullets"/>
        <w:rPr>
          <w:sz w:val="24"/>
          <w:szCs w:val="24"/>
        </w:rPr>
      </w:pPr>
      <w:r w:rsidRPr="00E66DB8">
        <w:rPr>
          <w:sz w:val="24"/>
          <w:szCs w:val="24"/>
        </w:rPr>
        <w:t>Create a Community Learning Plan for the CA area</w:t>
      </w:r>
      <w:r w:rsidR="00483B17" w:rsidRPr="00E66DB8">
        <w:rPr>
          <w:sz w:val="24"/>
          <w:szCs w:val="24"/>
        </w:rPr>
        <w:t>.</w:t>
      </w:r>
    </w:p>
    <w:p w14:paraId="6518DD61" w14:textId="77777777" w:rsidR="00B24FD4" w:rsidRPr="00E66DB8" w:rsidRDefault="00B24FD4" w:rsidP="009E16F8">
      <w:pPr>
        <w:pStyle w:val="ETFbullets"/>
        <w:rPr>
          <w:sz w:val="24"/>
          <w:szCs w:val="24"/>
        </w:rPr>
      </w:pPr>
      <w:r w:rsidRPr="00E66DB8">
        <w:rPr>
          <w:sz w:val="24"/>
          <w:szCs w:val="24"/>
        </w:rPr>
        <w:t>Encourage the creation of the best structures for delivery across the CA area.</w:t>
      </w:r>
    </w:p>
    <w:p w14:paraId="05F1BD51" w14:textId="77777777" w:rsidR="00B24FD4" w:rsidRPr="00E66DB8" w:rsidRDefault="00B24FD4" w:rsidP="009E16F8">
      <w:pPr>
        <w:pStyle w:val="ETFbullets"/>
        <w:rPr>
          <w:rFonts w:eastAsia="Times New Roman" w:cs="Times New Roman"/>
          <w:sz w:val="24"/>
          <w:szCs w:val="24"/>
          <w:lang w:eastAsia="en-GB"/>
        </w:rPr>
      </w:pPr>
      <w:r w:rsidRPr="00E66DB8">
        <w:rPr>
          <w:sz w:val="24"/>
          <w:szCs w:val="24"/>
          <w:lang w:eastAsia="en-GB"/>
        </w:rPr>
        <w:t>Share existing models, data, offer, work together to create ‘one voice’</w:t>
      </w:r>
      <w:r w:rsidR="00483B17" w:rsidRPr="00E66DB8">
        <w:rPr>
          <w:sz w:val="24"/>
          <w:szCs w:val="24"/>
          <w:lang w:eastAsia="en-GB"/>
        </w:rPr>
        <w:t>.</w:t>
      </w:r>
    </w:p>
    <w:p w14:paraId="25F86F32" w14:textId="77777777" w:rsidR="00E30AA1" w:rsidRPr="00E66DB8" w:rsidRDefault="00E30AA1" w:rsidP="009E16F8">
      <w:pPr>
        <w:pStyle w:val="ETFbullets"/>
        <w:rPr>
          <w:sz w:val="24"/>
          <w:szCs w:val="24"/>
          <w:lang w:eastAsia="en-GB"/>
        </w:rPr>
      </w:pPr>
      <w:r w:rsidRPr="00E66DB8">
        <w:rPr>
          <w:sz w:val="24"/>
          <w:szCs w:val="24"/>
          <w:lang w:eastAsia="en-GB"/>
        </w:rPr>
        <w:t>Consider sharing backroom services, IT, marketing, financial services electronic enrolment.</w:t>
      </w:r>
    </w:p>
    <w:p w14:paraId="46CE8F6E" w14:textId="77777777" w:rsidR="00B24FD4" w:rsidRPr="00E66DB8" w:rsidRDefault="00B24FD4" w:rsidP="006D7693">
      <w:pPr>
        <w:pStyle w:val="ETFbullets"/>
        <w:numPr>
          <w:ilvl w:val="0"/>
          <w:numId w:val="0"/>
        </w:numPr>
        <w:ind w:left="360"/>
        <w:rPr>
          <w:sz w:val="24"/>
          <w:szCs w:val="24"/>
        </w:rPr>
      </w:pPr>
    </w:p>
    <w:p w14:paraId="7D6146A0" w14:textId="77777777" w:rsidR="00444177" w:rsidRPr="00E66DB8" w:rsidRDefault="00444177" w:rsidP="009E16F8">
      <w:pPr>
        <w:pStyle w:val="ETFheadnonumber"/>
        <w:rPr>
          <w:color w:val="0070C0"/>
        </w:rPr>
      </w:pPr>
      <w:r w:rsidRPr="00E66DB8">
        <w:rPr>
          <w:color w:val="0070C0"/>
        </w:rPr>
        <w:t>Tip 8. Consider outcomes and what you can measure</w:t>
      </w:r>
    </w:p>
    <w:p w14:paraId="17DF55E6" w14:textId="77777777" w:rsidR="00B24FD4" w:rsidRPr="00E66DB8" w:rsidRDefault="00B24FD4" w:rsidP="009E16F8">
      <w:pPr>
        <w:pStyle w:val="ETFbullets"/>
        <w:rPr>
          <w:sz w:val="24"/>
          <w:szCs w:val="24"/>
        </w:rPr>
      </w:pPr>
      <w:r w:rsidRPr="00E66DB8">
        <w:rPr>
          <w:sz w:val="24"/>
          <w:szCs w:val="24"/>
        </w:rPr>
        <w:t>Ensure outcome agreements are fit for purpose for national reporting whilst meeting local priorities.</w:t>
      </w:r>
    </w:p>
    <w:p w14:paraId="6DEF1013" w14:textId="77777777" w:rsidR="00B24FD4" w:rsidRPr="00E66DB8" w:rsidRDefault="00B24FD4" w:rsidP="009E16F8">
      <w:pPr>
        <w:pStyle w:val="ETFbullets"/>
        <w:rPr>
          <w:sz w:val="24"/>
          <w:szCs w:val="24"/>
        </w:rPr>
      </w:pPr>
      <w:r w:rsidRPr="00E66DB8">
        <w:rPr>
          <w:sz w:val="24"/>
          <w:szCs w:val="24"/>
        </w:rPr>
        <w:t>Build up a robust data set to enable monitoring</w:t>
      </w:r>
      <w:r w:rsidR="00E30AA1" w:rsidRPr="00E66DB8">
        <w:rPr>
          <w:sz w:val="24"/>
          <w:szCs w:val="24"/>
        </w:rPr>
        <w:t>.</w:t>
      </w:r>
    </w:p>
    <w:p w14:paraId="07489999" w14:textId="77777777" w:rsidR="00B24FD4" w:rsidRPr="00E66DB8" w:rsidRDefault="00B24FD4" w:rsidP="009E16F8">
      <w:pPr>
        <w:pStyle w:val="ETFbullets"/>
        <w:rPr>
          <w:sz w:val="24"/>
          <w:szCs w:val="24"/>
          <w:lang w:eastAsia="en-GB"/>
        </w:rPr>
      </w:pPr>
      <w:r w:rsidRPr="00E66DB8">
        <w:rPr>
          <w:sz w:val="24"/>
          <w:szCs w:val="24"/>
          <w:lang w:eastAsia="en-GB"/>
        </w:rPr>
        <w:lastRenderedPageBreak/>
        <w:t>Use of national benchmarking data to inform local outcome agreement process.</w:t>
      </w:r>
    </w:p>
    <w:p w14:paraId="07393D41" w14:textId="77777777" w:rsidR="00B24FD4" w:rsidRPr="00E66DB8" w:rsidRDefault="00B24FD4" w:rsidP="009E16F8">
      <w:pPr>
        <w:pStyle w:val="ETFbullets"/>
        <w:rPr>
          <w:rFonts w:cs="Times New Roman"/>
          <w:sz w:val="24"/>
          <w:szCs w:val="24"/>
          <w:lang w:eastAsia="en-GB"/>
        </w:rPr>
      </w:pPr>
      <w:r w:rsidRPr="00E66DB8">
        <w:rPr>
          <w:sz w:val="24"/>
          <w:szCs w:val="24"/>
          <w:lang w:eastAsia="en-GB"/>
        </w:rPr>
        <w:t>Look for outcomes in addition to qualifications and jobs that will be understood and add value to the local community</w:t>
      </w:r>
      <w:r w:rsidR="00E30AA1" w:rsidRPr="00E66DB8">
        <w:rPr>
          <w:sz w:val="24"/>
          <w:szCs w:val="24"/>
          <w:lang w:eastAsia="en-GB"/>
        </w:rPr>
        <w:t>.</w:t>
      </w:r>
    </w:p>
    <w:p w14:paraId="39EFA2B5" w14:textId="77777777" w:rsidR="00B24FD4" w:rsidRPr="00E66DB8" w:rsidRDefault="00B24FD4" w:rsidP="009E16F8">
      <w:pPr>
        <w:pStyle w:val="ETFbullets"/>
        <w:rPr>
          <w:rFonts w:cs="Times New Roman"/>
          <w:sz w:val="24"/>
          <w:szCs w:val="24"/>
          <w:lang w:eastAsia="en-GB"/>
        </w:rPr>
      </w:pPr>
      <w:r w:rsidRPr="00E66DB8">
        <w:rPr>
          <w:sz w:val="24"/>
          <w:szCs w:val="24"/>
          <w:lang w:eastAsia="en-GB"/>
        </w:rPr>
        <w:t>Base decisions on data and needs analysis to ensure alignment to employer and community needs.</w:t>
      </w:r>
    </w:p>
    <w:p w14:paraId="3941C728" w14:textId="77777777" w:rsidR="00B24FD4" w:rsidRPr="00E66DB8" w:rsidRDefault="00B24FD4" w:rsidP="009E16F8">
      <w:pPr>
        <w:pStyle w:val="ETFbullets"/>
        <w:rPr>
          <w:rFonts w:cs="Times New Roman"/>
          <w:sz w:val="24"/>
          <w:szCs w:val="24"/>
          <w:lang w:eastAsia="en-GB"/>
        </w:rPr>
      </w:pPr>
      <w:r w:rsidRPr="00E66DB8">
        <w:rPr>
          <w:sz w:val="24"/>
          <w:szCs w:val="24"/>
          <w:lang w:eastAsia="en-GB"/>
        </w:rPr>
        <w:t>Produce a draft set of outcomes specific to the ACL sector that can be shared with partners for comment and refinement in advance of CA sign off.</w:t>
      </w:r>
    </w:p>
    <w:p w14:paraId="2B82155C" w14:textId="77777777" w:rsidR="00B24FD4" w:rsidRPr="00E66DB8" w:rsidRDefault="00B24FD4" w:rsidP="009E16F8">
      <w:pPr>
        <w:pStyle w:val="ETFbullets"/>
        <w:rPr>
          <w:rFonts w:cs="Times New Roman"/>
          <w:sz w:val="24"/>
          <w:szCs w:val="24"/>
          <w:lang w:eastAsia="en-GB"/>
        </w:rPr>
      </w:pPr>
      <w:r w:rsidRPr="00E66DB8">
        <w:rPr>
          <w:sz w:val="24"/>
          <w:szCs w:val="24"/>
          <w:lang w:eastAsia="en-GB"/>
        </w:rPr>
        <w:t xml:space="preserve">Establish a common framework with a clearly defined and understood set of metrics: local demographics, skills </w:t>
      </w:r>
      <w:r w:rsidR="00E30AA1" w:rsidRPr="00E66DB8">
        <w:rPr>
          <w:sz w:val="24"/>
          <w:szCs w:val="24"/>
          <w:lang w:eastAsia="en-GB"/>
        </w:rPr>
        <w:t>requirements</w:t>
      </w:r>
      <w:r w:rsidRPr="00E66DB8">
        <w:rPr>
          <w:sz w:val="24"/>
          <w:szCs w:val="24"/>
          <w:lang w:eastAsia="en-GB"/>
        </w:rPr>
        <w:t xml:space="preserve"> across the CA, current provision – including areas of specialism, success rates across the CA.</w:t>
      </w:r>
    </w:p>
    <w:p w14:paraId="387A3D5E" w14:textId="77777777" w:rsidR="00690A73" w:rsidRPr="00E66DB8" w:rsidRDefault="00B24FD4" w:rsidP="009E16F8">
      <w:pPr>
        <w:pStyle w:val="ETFbullets"/>
        <w:rPr>
          <w:sz w:val="24"/>
          <w:szCs w:val="24"/>
        </w:rPr>
      </w:pPr>
      <w:r w:rsidRPr="00E66DB8">
        <w:rPr>
          <w:sz w:val="24"/>
          <w:szCs w:val="24"/>
          <w:lang w:eastAsia="en-GB"/>
        </w:rPr>
        <w:t>Use a standard template to collect data that isn’t already available.</w:t>
      </w:r>
    </w:p>
    <w:p w14:paraId="44911BE9" w14:textId="77777777" w:rsidR="00B24FD4" w:rsidRPr="00E66DB8" w:rsidRDefault="00444177" w:rsidP="009E16F8">
      <w:pPr>
        <w:pStyle w:val="ETFbullets"/>
        <w:rPr>
          <w:sz w:val="24"/>
          <w:szCs w:val="24"/>
        </w:rPr>
      </w:pPr>
      <w:r w:rsidRPr="00E66DB8">
        <w:rPr>
          <w:sz w:val="24"/>
          <w:szCs w:val="24"/>
        </w:rPr>
        <w:t>S</w:t>
      </w:r>
      <w:r w:rsidR="00B24FD4" w:rsidRPr="00E66DB8">
        <w:rPr>
          <w:sz w:val="24"/>
          <w:szCs w:val="24"/>
        </w:rPr>
        <w:t>eek stakeholder feedback</w:t>
      </w:r>
      <w:r w:rsidR="00E30AA1" w:rsidRPr="00E66DB8">
        <w:rPr>
          <w:sz w:val="24"/>
          <w:szCs w:val="24"/>
        </w:rPr>
        <w:t>.</w:t>
      </w:r>
    </w:p>
    <w:p w14:paraId="2DB11641" w14:textId="59F1B11A" w:rsidR="00B24FD4" w:rsidRPr="00E66DB8" w:rsidRDefault="00E30AA1" w:rsidP="009E16F8">
      <w:pPr>
        <w:pStyle w:val="ETFbullets"/>
        <w:rPr>
          <w:sz w:val="24"/>
          <w:szCs w:val="24"/>
        </w:rPr>
      </w:pPr>
      <w:r w:rsidRPr="00E66DB8">
        <w:rPr>
          <w:sz w:val="24"/>
          <w:szCs w:val="24"/>
        </w:rPr>
        <w:t xml:space="preserve">Estimate what the costs are in time and resources to collect certain types of data. </w:t>
      </w:r>
    </w:p>
    <w:p w14:paraId="282426E3" w14:textId="77777777" w:rsidR="009E16F8" w:rsidRPr="00E66DB8" w:rsidRDefault="009E16F8" w:rsidP="006D7693">
      <w:pPr>
        <w:pStyle w:val="ETFbullets"/>
        <w:numPr>
          <w:ilvl w:val="0"/>
          <w:numId w:val="0"/>
        </w:numPr>
        <w:ind w:left="720"/>
        <w:rPr>
          <w:sz w:val="24"/>
          <w:szCs w:val="24"/>
        </w:rPr>
      </w:pPr>
    </w:p>
    <w:p w14:paraId="7DAF9872" w14:textId="77777777" w:rsidR="00444177" w:rsidRPr="00E66DB8" w:rsidRDefault="00444177" w:rsidP="009E16F8">
      <w:pPr>
        <w:pStyle w:val="ETFheadnonumber"/>
        <w:rPr>
          <w:color w:val="0070C0"/>
        </w:rPr>
      </w:pPr>
      <w:r w:rsidRPr="00E66DB8">
        <w:rPr>
          <w:color w:val="0070C0"/>
        </w:rPr>
        <w:t>Tip 9. Communicate</w:t>
      </w:r>
    </w:p>
    <w:p w14:paraId="54784FA3" w14:textId="77777777" w:rsidR="00B24FD4" w:rsidRPr="00E66DB8" w:rsidRDefault="00B24FD4" w:rsidP="009E16F8">
      <w:pPr>
        <w:pStyle w:val="ETFbullets"/>
        <w:rPr>
          <w:rFonts w:cs="Times New Roman"/>
          <w:sz w:val="24"/>
          <w:szCs w:val="24"/>
          <w:lang w:eastAsia="en-GB"/>
        </w:rPr>
      </w:pPr>
      <w:r w:rsidRPr="00E66DB8">
        <w:rPr>
          <w:sz w:val="24"/>
          <w:szCs w:val="24"/>
          <w:lang w:eastAsia="en-GB"/>
        </w:rPr>
        <w:t>Agree a communications plan for stakeholders</w:t>
      </w:r>
      <w:r w:rsidR="00483B17" w:rsidRPr="00E66DB8">
        <w:rPr>
          <w:sz w:val="24"/>
          <w:szCs w:val="24"/>
          <w:lang w:eastAsia="en-GB"/>
        </w:rPr>
        <w:t>.</w:t>
      </w:r>
    </w:p>
    <w:p w14:paraId="269414BB" w14:textId="77777777" w:rsidR="00B24FD4" w:rsidRPr="00E66DB8" w:rsidRDefault="00B24FD4" w:rsidP="009E16F8">
      <w:pPr>
        <w:pStyle w:val="ETFbullets"/>
        <w:rPr>
          <w:sz w:val="24"/>
          <w:szCs w:val="24"/>
        </w:rPr>
      </w:pPr>
      <w:r w:rsidRPr="00E66DB8">
        <w:rPr>
          <w:sz w:val="24"/>
          <w:szCs w:val="24"/>
        </w:rPr>
        <w:t xml:space="preserve">Base </w:t>
      </w:r>
      <w:r w:rsidR="00E30AA1" w:rsidRPr="00E66DB8">
        <w:rPr>
          <w:sz w:val="24"/>
          <w:szCs w:val="24"/>
        </w:rPr>
        <w:t xml:space="preserve">new ideas </w:t>
      </w:r>
      <w:r w:rsidRPr="00E66DB8">
        <w:rPr>
          <w:sz w:val="24"/>
          <w:szCs w:val="24"/>
        </w:rPr>
        <w:t>on good intelligence, get the right people in the room.</w:t>
      </w:r>
    </w:p>
    <w:p w14:paraId="19EC0EB8" w14:textId="672A8882" w:rsidR="00B24FD4" w:rsidRPr="00E66DB8" w:rsidRDefault="00B24FD4" w:rsidP="009E16F8">
      <w:pPr>
        <w:pStyle w:val="ETFbullets"/>
        <w:rPr>
          <w:sz w:val="24"/>
          <w:szCs w:val="24"/>
        </w:rPr>
      </w:pPr>
      <w:r w:rsidRPr="00E66DB8">
        <w:rPr>
          <w:sz w:val="24"/>
          <w:szCs w:val="24"/>
        </w:rPr>
        <w:t xml:space="preserve">Ensure join-up with other </w:t>
      </w:r>
      <w:r w:rsidR="00E30AA1" w:rsidRPr="00E66DB8">
        <w:rPr>
          <w:sz w:val="24"/>
          <w:szCs w:val="24"/>
        </w:rPr>
        <w:t xml:space="preserve">Deal areas </w:t>
      </w:r>
      <w:r w:rsidRPr="00E66DB8">
        <w:rPr>
          <w:sz w:val="24"/>
          <w:szCs w:val="24"/>
        </w:rPr>
        <w:t xml:space="preserve">which impact on Employment and Skills, e.g. transport.  </w:t>
      </w:r>
    </w:p>
    <w:p w14:paraId="0FFD78F2" w14:textId="77777777" w:rsidR="00B24FD4" w:rsidRPr="00E66DB8" w:rsidRDefault="00B24FD4" w:rsidP="009E16F8">
      <w:pPr>
        <w:pStyle w:val="ETFbullets"/>
        <w:rPr>
          <w:sz w:val="24"/>
          <w:szCs w:val="24"/>
        </w:rPr>
      </w:pPr>
      <w:r w:rsidRPr="00E66DB8">
        <w:rPr>
          <w:sz w:val="24"/>
          <w:szCs w:val="24"/>
          <w:lang w:eastAsia="en-GB"/>
        </w:rPr>
        <w:t>Share information in advance of meetings so that the time spent in meetings is used efficiently to question, improve understanding and generate solutions rather than impart information</w:t>
      </w:r>
      <w:r w:rsidR="00E30AA1" w:rsidRPr="00E66DB8">
        <w:rPr>
          <w:sz w:val="24"/>
          <w:szCs w:val="24"/>
          <w:lang w:eastAsia="en-GB"/>
        </w:rPr>
        <w:t>.</w:t>
      </w:r>
    </w:p>
    <w:p w14:paraId="792A957D" w14:textId="3198B4AB" w:rsidR="00B24FD4" w:rsidRPr="00E66DB8" w:rsidRDefault="00E30AA1" w:rsidP="009E16F8">
      <w:pPr>
        <w:pStyle w:val="ETFbullets"/>
        <w:rPr>
          <w:sz w:val="24"/>
          <w:szCs w:val="24"/>
        </w:rPr>
      </w:pPr>
      <w:r w:rsidRPr="00E66DB8">
        <w:rPr>
          <w:sz w:val="24"/>
          <w:szCs w:val="24"/>
          <w:lang w:eastAsia="en-GB"/>
        </w:rPr>
        <w:t>Be tolerant</w:t>
      </w:r>
      <w:r w:rsidR="00483B17" w:rsidRPr="00E66DB8">
        <w:rPr>
          <w:sz w:val="24"/>
          <w:szCs w:val="24"/>
          <w:lang w:eastAsia="en-GB"/>
        </w:rPr>
        <w:t>,</w:t>
      </w:r>
      <w:r w:rsidRPr="00E66DB8">
        <w:rPr>
          <w:sz w:val="24"/>
          <w:szCs w:val="24"/>
          <w:lang w:eastAsia="en-GB"/>
        </w:rPr>
        <w:t xml:space="preserve"> not everyone yet understands the agenda and the benefits.    </w:t>
      </w:r>
    </w:p>
    <w:p w14:paraId="71B5C6A8" w14:textId="77777777" w:rsidR="00B24FD4" w:rsidRPr="00E66DB8" w:rsidRDefault="00B24FD4" w:rsidP="00690A73">
      <w:pPr>
        <w:spacing w:after="0" w:line="240" w:lineRule="auto"/>
        <w:contextualSpacing/>
        <w:jc w:val="both"/>
        <w:rPr>
          <w:rFonts w:ascii="Georgia" w:eastAsia="Times New Roman" w:hAnsi="Georgia" w:cs="Arial"/>
          <w:b/>
          <w:color w:val="595959" w:themeColor="text1" w:themeTint="A6"/>
          <w:sz w:val="24"/>
          <w:szCs w:val="24"/>
          <w:lang w:eastAsia="en-GB"/>
        </w:rPr>
      </w:pPr>
    </w:p>
    <w:p w14:paraId="65930ABF" w14:textId="77777777" w:rsidR="00444177" w:rsidRPr="00E66DB8" w:rsidRDefault="00444177" w:rsidP="009E16F8">
      <w:pPr>
        <w:pStyle w:val="ETFheadnonumber"/>
        <w:rPr>
          <w:color w:val="0070C0"/>
        </w:rPr>
      </w:pPr>
      <w:r w:rsidRPr="00E66DB8">
        <w:rPr>
          <w:color w:val="0070C0"/>
        </w:rPr>
        <w:t>Tip 10. Develop you and your staff</w:t>
      </w:r>
      <w:r w:rsidR="00E30AA1" w:rsidRPr="00E66DB8">
        <w:rPr>
          <w:color w:val="0070C0"/>
        </w:rPr>
        <w:t xml:space="preserve"> in</w:t>
      </w:r>
      <w:r w:rsidR="00EF3AAB" w:rsidRPr="00E66DB8">
        <w:rPr>
          <w:color w:val="0070C0"/>
        </w:rPr>
        <w:t>:</w:t>
      </w:r>
    </w:p>
    <w:p w14:paraId="55103AFF" w14:textId="77777777" w:rsidR="00B24FD4" w:rsidRPr="00E66DB8" w:rsidRDefault="00B24FD4" w:rsidP="009E16F8">
      <w:pPr>
        <w:pStyle w:val="ETFbullets"/>
        <w:rPr>
          <w:sz w:val="24"/>
          <w:szCs w:val="24"/>
        </w:rPr>
      </w:pPr>
      <w:r w:rsidRPr="00E66DB8">
        <w:rPr>
          <w:sz w:val="24"/>
          <w:szCs w:val="24"/>
        </w:rPr>
        <w:t>Systems leadership</w:t>
      </w:r>
      <w:r w:rsidR="00E30AA1" w:rsidRPr="00E66DB8">
        <w:rPr>
          <w:sz w:val="24"/>
          <w:szCs w:val="24"/>
        </w:rPr>
        <w:t>.</w:t>
      </w:r>
    </w:p>
    <w:p w14:paraId="6AB41AE8" w14:textId="77777777" w:rsidR="00B24FD4" w:rsidRPr="00E66DB8" w:rsidRDefault="00B24FD4" w:rsidP="009E16F8">
      <w:pPr>
        <w:pStyle w:val="ETFbullets"/>
        <w:rPr>
          <w:sz w:val="24"/>
          <w:szCs w:val="24"/>
        </w:rPr>
      </w:pPr>
      <w:r w:rsidRPr="00E66DB8">
        <w:rPr>
          <w:sz w:val="24"/>
          <w:szCs w:val="24"/>
        </w:rPr>
        <w:t>Working beyond your own boundaries</w:t>
      </w:r>
      <w:r w:rsidR="00E30AA1" w:rsidRPr="00E66DB8">
        <w:rPr>
          <w:sz w:val="24"/>
          <w:szCs w:val="24"/>
        </w:rPr>
        <w:t>.</w:t>
      </w:r>
    </w:p>
    <w:p w14:paraId="1A79210F" w14:textId="77777777" w:rsidR="00B24FD4" w:rsidRPr="00E66DB8" w:rsidRDefault="00B24FD4" w:rsidP="009E16F8">
      <w:pPr>
        <w:pStyle w:val="ETFbullets"/>
        <w:rPr>
          <w:sz w:val="24"/>
          <w:szCs w:val="24"/>
        </w:rPr>
      </w:pPr>
      <w:r w:rsidRPr="00E66DB8">
        <w:rPr>
          <w:sz w:val="24"/>
          <w:szCs w:val="24"/>
        </w:rPr>
        <w:t>Relationships and shared purpose</w:t>
      </w:r>
      <w:r w:rsidR="00E30AA1" w:rsidRPr="00E66DB8">
        <w:rPr>
          <w:sz w:val="24"/>
          <w:szCs w:val="24"/>
        </w:rPr>
        <w:t>.</w:t>
      </w:r>
    </w:p>
    <w:p w14:paraId="33F5E9B5" w14:textId="77777777" w:rsidR="00B24FD4" w:rsidRPr="00E66DB8" w:rsidRDefault="00B24FD4" w:rsidP="009E16F8">
      <w:pPr>
        <w:pStyle w:val="ETFbullets"/>
        <w:rPr>
          <w:sz w:val="24"/>
          <w:szCs w:val="24"/>
        </w:rPr>
      </w:pPr>
      <w:r w:rsidRPr="00E66DB8">
        <w:rPr>
          <w:sz w:val="24"/>
          <w:szCs w:val="24"/>
        </w:rPr>
        <w:t>Flexibility and diplomacy</w:t>
      </w:r>
      <w:r w:rsidR="00E30AA1" w:rsidRPr="00E66DB8">
        <w:rPr>
          <w:sz w:val="24"/>
          <w:szCs w:val="24"/>
        </w:rPr>
        <w:t>.</w:t>
      </w:r>
    </w:p>
    <w:p w14:paraId="7C139380" w14:textId="77777777" w:rsidR="00B24FD4" w:rsidRPr="00E66DB8" w:rsidRDefault="00B24FD4" w:rsidP="009E16F8">
      <w:pPr>
        <w:pStyle w:val="ETFbullets"/>
        <w:rPr>
          <w:sz w:val="24"/>
          <w:szCs w:val="24"/>
        </w:rPr>
      </w:pPr>
      <w:r w:rsidRPr="00E66DB8">
        <w:rPr>
          <w:sz w:val="24"/>
          <w:szCs w:val="24"/>
        </w:rPr>
        <w:t>Governance across phases and CA areas</w:t>
      </w:r>
      <w:r w:rsidR="00E30AA1" w:rsidRPr="00E66DB8">
        <w:rPr>
          <w:sz w:val="24"/>
          <w:szCs w:val="24"/>
        </w:rPr>
        <w:t>.</w:t>
      </w:r>
    </w:p>
    <w:p w14:paraId="160E9209" w14:textId="67A09579" w:rsidR="00B24FD4" w:rsidRDefault="00B24FD4" w:rsidP="009E16F8">
      <w:pPr>
        <w:pStyle w:val="ETFbullets"/>
        <w:rPr>
          <w:sz w:val="24"/>
          <w:szCs w:val="24"/>
        </w:rPr>
      </w:pPr>
      <w:r w:rsidRPr="00E66DB8">
        <w:rPr>
          <w:sz w:val="24"/>
          <w:szCs w:val="24"/>
        </w:rPr>
        <w:t>‘Joined up’ localism: ‘eco system’ rather than an ‘institution’</w:t>
      </w:r>
      <w:r w:rsidR="00E30AA1" w:rsidRPr="00E66DB8">
        <w:rPr>
          <w:sz w:val="24"/>
          <w:szCs w:val="24"/>
        </w:rPr>
        <w:t>.</w:t>
      </w:r>
    </w:p>
    <w:p w14:paraId="66B819A1" w14:textId="43427809" w:rsidR="00D818FA" w:rsidRDefault="00D818FA" w:rsidP="00D818FA">
      <w:pPr>
        <w:pStyle w:val="ETFbullets"/>
        <w:numPr>
          <w:ilvl w:val="0"/>
          <w:numId w:val="0"/>
        </w:numPr>
        <w:rPr>
          <w:sz w:val="24"/>
          <w:szCs w:val="24"/>
        </w:rPr>
      </w:pPr>
    </w:p>
    <w:p w14:paraId="6803DCF0" w14:textId="28473636" w:rsidR="00D818FA" w:rsidRPr="00D818FA" w:rsidRDefault="00D818FA" w:rsidP="00D818FA">
      <w:pPr>
        <w:pStyle w:val="ETFbullets"/>
        <w:numPr>
          <w:ilvl w:val="0"/>
          <w:numId w:val="0"/>
        </w:numPr>
        <w:rPr>
          <w:b/>
          <w:bCs/>
          <w:color w:val="0070C0"/>
          <w:sz w:val="32"/>
          <w:szCs w:val="32"/>
        </w:rPr>
      </w:pPr>
      <w:r w:rsidRPr="00D818FA">
        <w:rPr>
          <w:b/>
          <w:bCs/>
          <w:color w:val="0070C0"/>
          <w:sz w:val="32"/>
          <w:szCs w:val="32"/>
        </w:rPr>
        <w:t xml:space="preserve">Assert you position as a Grant Funded Trusted Delivery Partner </w:t>
      </w:r>
    </w:p>
    <w:p w14:paraId="4805128D" w14:textId="77777777" w:rsidR="00B24FD4" w:rsidRPr="00690A73" w:rsidRDefault="00B24FD4" w:rsidP="00690A73">
      <w:pPr>
        <w:jc w:val="both"/>
        <w:rPr>
          <w:rFonts w:ascii="Georgia" w:hAnsi="Georgia"/>
          <w:color w:val="595959" w:themeColor="text1" w:themeTint="A6"/>
          <w:sz w:val="24"/>
          <w:szCs w:val="24"/>
        </w:rPr>
      </w:pPr>
    </w:p>
    <w:p w14:paraId="32C759FA" w14:textId="77777777" w:rsidR="00165BE2" w:rsidRPr="008B1DB3" w:rsidRDefault="00165BE2" w:rsidP="00690A73">
      <w:pPr>
        <w:pStyle w:val="TenderTitle"/>
        <w:contextualSpacing/>
        <w:jc w:val="both"/>
        <w:rPr>
          <w:rFonts w:cs="Arial"/>
          <w:b w:val="0"/>
          <w:color w:val="1EA7B5"/>
          <w:sz w:val="22"/>
          <w:szCs w:val="22"/>
        </w:rPr>
      </w:pPr>
    </w:p>
    <w:sectPr w:rsidR="00165BE2" w:rsidRPr="008B1DB3" w:rsidSect="00690A73">
      <w:footerReference w:type="default" r:id="rId9"/>
      <w:pgSz w:w="11906" w:h="16838"/>
      <w:pgMar w:top="1440" w:right="1440" w:bottom="1440" w:left="1440" w:header="708" w:footer="3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373152" w14:textId="77777777" w:rsidR="00E9559B" w:rsidRDefault="00E9559B" w:rsidP="000B4C0F">
      <w:pPr>
        <w:spacing w:after="0" w:line="240" w:lineRule="auto"/>
      </w:pPr>
      <w:r>
        <w:separator/>
      </w:r>
    </w:p>
  </w:endnote>
  <w:endnote w:type="continuationSeparator" w:id="0">
    <w:p w14:paraId="5982BE9C" w14:textId="77777777" w:rsidR="00E9559B" w:rsidRDefault="00E9559B" w:rsidP="000B4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yant Regular">
    <w:altName w:val="Calibri"/>
    <w:panose1 w:val="00000000000000000000"/>
    <w:charset w:val="00"/>
    <w:family w:val="swiss"/>
    <w:notTrueType/>
    <w:pitch w:val="variable"/>
    <w:sig w:usb0="A00002AF" w:usb1="50002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796353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48436C" w14:textId="3383E3DA" w:rsidR="00795AB4" w:rsidRDefault="00795A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0C25A0" w14:textId="77777777" w:rsidR="00690A73" w:rsidRDefault="00690A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0967EC" w14:textId="77777777" w:rsidR="00E9559B" w:rsidRDefault="00E9559B" w:rsidP="000B4C0F">
      <w:pPr>
        <w:spacing w:after="0" w:line="240" w:lineRule="auto"/>
      </w:pPr>
      <w:r>
        <w:separator/>
      </w:r>
    </w:p>
  </w:footnote>
  <w:footnote w:type="continuationSeparator" w:id="0">
    <w:p w14:paraId="0C85E6DD" w14:textId="77777777" w:rsidR="00E9559B" w:rsidRDefault="00E9559B" w:rsidP="000B4C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25C1E"/>
    <w:multiLevelType w:val="hybridMultilevel"/>
    <w:tmpl w:val="F132A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F6693"/>
    <w:multiLevelType w:val="multilevel"/>
    <w:tmpl w:val="0956A238"/>
    <w:lvl w:ilvl="0">
      <w:start w:val="1"/>
      <w:numFmt w:val="decimal"/>
      <w:pStyle w:val="Foundationheading1new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pStyle w:val="Foundation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AD587C"/>
    <w:multiLevelType w:val="hybridMultilevel"/>
    <w:tmpl w:val="CF0C8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F7C86"/>
    <w:multiLevelType w:val="hybridMultilevel"/>
    <w:tmpl w:val="1A06D156"/>
    <w:lvl w:ilvl="0" w:tplc="8B58471E">
      <w:start w:val="1"/>
      <w:numFmt w:val="decimal"/>
      <w:pStyle w:val="FoundationHeading1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7966C5"/>
    <w:multiLevelType w:val="hybridMultilevel"/>
    <w:tmpl w:val="7AD26C8E"/>
    <w:lvl w:ilvl="0" w:tplc="87A67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E006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E3AA0"/>
    <w:multiLevelType w:val="hybridMultilevel"/>
    <w:tmpl w:val="F53C9B7A"/>
    <w:lvl w:ilvl="0" w:tplc="E1C276CE">
      <w:start w:val="1"/>
      <w:numFmt w:val="bullet"/>
      <w:pStyle w:val="ETFbullets"/>
      <w:lvlText w:val=""/>
      <w:lvlJc w:val="left"/>
      <w:pPr>
        <w:ind w:left="720" w:hanging="360"/>
      </w:pPr>
      <w:rPr>
        <w:rFonts w:ascii="Symbol" w:hAnsi="Symbol" w:hint="default"/>
        <w:color w:val="5B9BD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110AA"/>
    <w:multiLevelType w:val="multilevel"/>
    <w:tmpl w:val="674C6128"/>
    <w:lvl w:ilvl="0">
      <w:start w:val="1"/>
      <w:numFmt w:val="decimal"/>
      <w:pStyle w:val="ETFLargeSectionheader"/>
      <w:lvlText w:val="%1."/>
      <w:lvlJc w:val="left"/>
      <w:pPr>
        <w:ind w:left="643" w:hanging="360"/>
      </w:pPr>
    </w:lvl>
    <w:lvl w:ilvl="1">
      <w:start w:val="1"/>
      <w:numFmt w:val="decimal"/>
      <w:pStyle w:val="ETFsub-header"/>
      <w:lvlText w:val="%1.%2."/>
      <w:lvlJc w:val="left"/>
      <w:pPr>
        <w:ind w:left="4196" w:hanging="432"/>
      </w:pPr>
    </w:lvl>
    <w:lvl w:ilvl="2">
      <w:start w:val="1"/>
      <w:numFmt w:val="decimal"/>
      <w:lvlText w:val="%1.%2.%3."/>
      <w:lvlJc w:val="left"/>
      <w:pPr>
        <w:ind w:left="4628" w:hanging="504"/>
      </w:pPr>
    </w:lvl>
    <w:lvl w:ilvl="3">
      <w:start w:val="1"/>
      <w:numFmt w:val="decimal"/>
      <w:lvlText w:val="%1.%2.%3.%4."/>
      <w:lvlJc w:val="left"/>
      <w:pPr>
        <w:ind w:left="5132" w:hanging="648"/>
      </w:pPr>
    </w:lvl>
    <w:lvl w:ilvl="4">
      <w:start w:val="1"/>
      <w:numFmt w:val="decimal"/>
      <w:lvlText w:val="%1.%2.%3.%4.%5."/>
      <w:lvlJc w:val="left"/>
      <w:pPr>
        <w:ind w:left="5636" w:hanging="792"/>
      </w:pPr>
    </w:lvl>
    <w:lvl w:ilvl="5">
      <w:start w:val="1"/>
      <w:numFmt w:val="decimal"/>
      <w:lvlText w:val="%1.%2.%3.%4.%5.%6."/>
      <w:lvlJc w:val="left"/>
      <w:pPr>
        <w:ind w:left="6140" w:hanging="936"/>
      </w:pPr>
    </w:lvl>
    <w:lvl w:ilvl="6">
      <w:start w:val="1"/>
      <w:numFmt w:val="decimal"/>
      <w:lvlText w:val="%1.%2.%3.%4.%5.%6.%7."/>
      <w:lvlJc w:val="left"/>
      <w:pPr>
        <w:ind w:left="6644" w:hanging="1080"/>
      </w:pPr>
    </w:lvl>
    <w:lvl w:ilvl="7">
      <w:start w:val="1"/>
      <w:numFmt w:val="decimal"/>
      <w:lvlText w:val="%1.%2.%3.%4.%5.%6.%7.%8."/>
      <w:lvlJc w:val="left"/>
      <w:pPr>
        <w:ind w:left="7148" w:hanging="1224"/>
      </w:pPr>
    </w:lvl>
    <w:lvl w:ilvl="8">
      <w:start w:val="1"/>
      <w:numFmt w:val="decimal"/>
      <w:lvlText w:val="%1.%2.%3.%4.%5.%6.%7.%8.%9."/>
      <w:lvlJc w:val="left"/>
      <w:pPr>
        <w:ind w:left="7724" w:hanging="1440"/>
      </w:pPr>
    </w:lvl>
  </w:abstractNum>
  <w:abstractNum w:abstractNumId="7" w15:restartNumberingAfterBreak="0">
    <w:nsid w:val="30B53B99"/>
    <w:multiLevelType w:val="multilevel"/>
    <w:tmpl w:val="620C00EE"/>
    <w:lvl w:ilvl="0">
      <w:start w:val="1"/>
      <w:numFmt w:val="decimal"/>
      <w:pStyle w:val="ETFHeading1"/>
      <w:lvlText w:val="%1."/>
      <w:lvlJc w:val="left"/>
      <w:pPr>
        <w:ind w:left="360" w:hanging="360"/>
      </w:pPr>
    </w:lvl>
    <w:lvl w:ilvl="1">
      <w:start w:val="1"/>
      <w:numFmt w:val="decimal"/>
      <w:pStyle w:val="ETF-Subhead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8E32988"/>
    <w:multiLevelType w:val="hybridMultilevel"/>
    <w:tmpl w:val="92682B8E"/>
    <w:lvl w:ilvl="0" w:tplc="E1F04DDE">
      <w:start w:val="1"/>
      <w:numFmt w:val="decimal"/>
      <w:pStyle w:val="Questions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6E35C5"/>
    <w:multiLevelType w:val="hybridMultilevel"/>
    <w:tmpl w:val="36081BD6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AAB2BCE"/>
    <w:multiLevelType w:val="hybridMultilevel"/>
    <w:tmpl w:val="3912BDF6"/>
    <w:lvl w:ilvl="0" w:tplc="CEB445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28B425D"/>
    <w:multiLevelType w:val="hybridMultilevel"/>
    <w:tmpl w:val="51A8F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33023"/>
    <w:multiLevelType w:val="hybridMultilevel"/>
    <w:tmpl w:val="BE1E3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C21417"/>
    <w:multiLevelType w:val="hybridMultilevel"/>
    <w:tmpl w:val="D63A25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A91557"/>
    <w:multiLevelType w:val="hybridMultilevel"/>
    <w:tmpl w:val="A3CEB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6"/>
  </w:num>
  <w:num w:numId="5">
    <w:abstractNumId w:val="7"/>
  </w:num>
  <w:num w:numId="6">
    <w:abstractNumId w:val="4"/>
  </w:num>
  <w:num w:numId="7">
    <w:abstractNumId w:val="13"/>
  </w:num>
  <w:num w:numId="8">
    <w:abstractNumId w:val="0"/>
  </w:num>
  <w:num w:numId="9">
    <w:abstractNumId w:val="14"/>
  </w:num>
  <w:num w:numId="10">
    <w:abstractNumId w:val="11"/>
  </w:num>
  <w:num w:numId="11">
    <w:abstractNumId w:val="2"/>
  </w:num>
  <w:num w:numId="12">
    <w:abstractNumId w:val="9"/>
  </w:num>
  <w:num w:numId="13">
    <w:abstractNumId w:val="10"/>
  </w:num>
  <w:num w:numId="14">
    <w:abstractNumId w:val="5"/>
  </w:num>
  <w:num w:numId="15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E28"/>
    <w:rsid w:val="00003D0A"/>
    <w:rsid w:val="0000407D"/>
    <w:rsid w:val="00030E91"/>
    <w:rsid w:val="0007485A"/>
    <w:rsid w:val="000822ED"/>
    <w:rsid w:val="00086775"/>
    <w:rsid w:val="000B4C0F"/>
    <w:rsid w:val="000B5207"/>
    <w:rsid w:val="000B5FF1"/>
    <w:rsid w:val="000B6B9F"/>
    <w:rsid w:val="000C3F7A"/>
    <w:rsid w:val="000C6869"/>
    <w:rsid w:val="000D6FDB"/>
    <w:rsid w:val="000E2BC8"/>
    <w:rsid w:val="000F1EC1"/>
    <w:rsid w:val="00125796"/>
    <w:rsid w:val="00143A1A"/>
    <w:rsid w:val="0014591E"/>
    <w:rsid w:val="001467E0"/>
    <w:rsid w:val="001533F2"/>
    <w:rsid w:val="00154247"/>
    <w:rsid w:val="00165BE2"/>
    <w:rsid w:val="0017562D"/>
    <w:rsid w:val="0019496B"/>
    <w:rsid w:val="001A62AD"/>
    <w:rsid w:val="001B1BFA"/>
    <w:rsid w:val="001C4F3B"/>
    <w:rsid w:val="001E5E85"/>
    <w:rsid w:val="002018DF"/>
    <w:rsid w:val="00202FA5"/>
    <w:rsid w:val="00227F8D"/>
    <w:rsid w:val="0023660F"/>
    <w:rsid w:val="002612E8"/>
    <w:rsid w:val="00274879"/>
    <w:rsid w:val="002766F7"/>
    <w:rsid w:val="0028538C"/>
    <w:rsid w:val="002858F6"/>
    <w:rsid w:val="002A6135"/>
    <w:rsid w:val="002D4BC8"/>
    <w:rsid w:val="002F7B81"/>
    <w:rsid w:val="0033605F"/>
    <w:rsid w:val="00354D1B"/>
    <w:rsid w:val="0036479D"/>
    <w:rsid w:val="003671D5"/>
    <w:rsid w:val="003705C1"/>
    <w:rsid w:val="003723C3"/>
    <w:rsid w:val="00374719"/>
    <w:rsid w:val="00393A87"/>
    <w:rsid w:val="0039509C"/>
    <w:rsid w:val="003A5D33"/>
    <w:rsid w:val="003B1B4E"/>
    <w:rsid w:val="003B6D89"/>
    <w:rsid w:val="003B728D"/>
    <w:rsid w:val="003C0B08"/>
    <w:rsid w:val="003C3F58"/>
    <w:rsid w:val="003D0BB4"/>
    <w:rsid w:val="0044083F"/>
    <w:rsid w:val="00444177"/>
    <w:rsid w:val="00464E30"/>
    <w:rsid w:val="00466F1D"/>
    <w:rsid w:val="004778A1"/>
    <w:rsid w:val="00483B17"/>
    <w:rsid w:val="00486DC8"/>
    <w:rsid w:val="00496C44"/>
    <w:rsid w:val="00497925"/>
    <w:rsid w:val="004A2C04"/>
    <w:rsid w:val="004A7B5C"/>
    <w:rsid w:val="004B34DE"/>
    <w:rsid w:val="004B6F17"/>
    <w:rsid w:val="005070C8"/>
    <w:rsid w:val="00507814"/>
    <w:rsid w:val="005167A2"/>
    <w:rsid w:val="00537E28"/>
    <w:rsid w:val="00542251"/>
    <w:rsid w:val="00545F29"/>
    <w:rsid w:val="00567AF4"/>
    <w:rsid w:val="0057372A"/>
    <w:rsid w:val="00574ABF"/>
    <w:rsid w:val="00574CDA"/>
    <w:rsid w:val="00590753"/>
    <w:rsid w:val="005A63EA"/>
    <w:rsid w:val="005C359D"/>
    <w:rsid w:val="005C7654"/>
    <w:rsid w:val="005E3830"/>
    <w:rsid w:val="005E3ED9"/>
    <w:rsid w:val="00606FA1"/>
    <w:rsid w:val="00636953"/>
    <w:rsid w:val="00637434"/>
    <w:rsid w:val="006578C3"/>
    <w:rsid w:val="00660CB3"/>
    <w:rsid w:val="00665649"/>
    <w:rsid w:val="00665950"/>
    <w:rsid w:val="00666DB7"/>
    <w:rsid w:val="00671CED"/>
    <w:rsid w:val="006727B3"/>
    <w:rsid w:val="00685FF6"/>
    <w:rsid w:val="00690A73"/>
    <w:rsid w:val="006941CF"/>
    <w:rsid w:val="006A080A"/>
    <w:rsid w:val="006A365D"/>
    <w:rsid w:val="006B2A98"/>
    <w:rsid w:val="006C3E62"/>
    <w:rsid w:val="006C4946"/>
    <w:rsid w:val="006D1841"/>
    <w:rsid w:val="006D7693"/>
    <w:rsid w:val="006E3843"/>
    <w:rsid w:val="006E54D6"/>
    <w:rsid w:val="006F3592"/>
    <w:rsid w:val="00715DF7"/>
    <w:rsid w:val="00741268"/>
    <w:rsid w:val="00761FB6"/>
    <w:rsid w:val="00772D29"/>
    <w:rsid w:val="00774399"/>
    <w:rsid w:val="00795AB4"/>
    <w:rsid w:val="007C2399"/>
    <w:rsid w:val="00852CD0"/>
    <w:rsid w:val="00867D9F"/>
    <w:rsid w:val="00873861"/>
    <w:rsid w:val="008A5073"/>
    <w:rsid w:val="008B1DB3"/>
    <w:rsid w:val="008B2568"/>
    <w:rsid w:val="008C447A"/>
    <w:rsid w:val="008D7817"/>
    <w:rsid w:val="008F1F1F"/>
    <w:rsid w:val="008F49B6"/>
    <w:rsid w:val="00922C78"/>
    <w:rsid w:val="009769A0"/>
    <w:rsid w:val="00982C7C"/>
    <w:rsid w:val="00991672"/>
    <w:rsid w:val="009944CA"/>
    <w:rsid w:val="009D2FD3"/>
    <w:rsid w:val="009E02AD"/>
    <w:rsid w:val="009E16F8"/>
    <w:rsid w:val="00A219E8"/>
    <w:rsid w:val="00A23DF6"/>
    <w:rsid w:val="00A250CD"/>
    <w:rsid w:val="00A304FE"/>
    <w:rsid w:val="00A47C18"/>
    <w:rsid w:val="00A527AA"/>
    <w:rsid w:val="00A60601"/>
    <w:rsid w:val="00A60D2F"/>
    <w:rsid w:val="00A66948"/>
    <w:rsid w:val="00A87282"/>
    <w:rsid w:val="00AC08DB"/>
    <w:rsid w:val="00AC3BFE"/>
    <w:rsid w:val="00AD0CDC"/>
    <w:rsid w:val="00B07C79"/>
    <w:rsid w:val="00B10945"/>
    <w:rsid w:val="00B14417"/>
    <w:rsid w:val="00B24FD4"/>
    <w:rsid w:val="00B3371D"/>
    <w:rsid w:val="00B6475C"/>
    <w:rsid w:val="00B807A9"/>
    <w:rsid w:val="00B8340D"/>
    <w:rsid w:val="00B90783"/>
    <w:rsid w:val="00B928A0"/>
    <w:rsid w:val="00BA1AB5"/>
    <w:rsid w:val="00C337E9"/>
    <w:rsid w:val="00C34E03"/>
    <w:rsid w:val="00C4526C"/>
    <w:rsid w:val="00C51203"/>
    <w:rsid w:val="00CC2701"/>
    <w:rsid w:val="00CC7048"/>
    <w:rsid w:val="00D10706"/>
    <w:rsid w:val="00D12443"/>
    <w:rsid w:val="00D27DB0"/>
    <w:rsid w:val="00D52A23"/>
    <w:rsid w:val="00D57E3C"/>
    <w:rsid w:val="00D635E3"/>
    <w:rsid w:val="00D818FA"/>
    <w:rsid w:val="00DA1EB2"/>
    <w:rsid w:val="00DB15BE"/>
    <w:rsid w:val="00DD6F09"/>
    <w:rsid w:val="00DD7E9F"/>
    <w:rsid w:val="00DE5EBC"/>
    <w:rsid w:val="00DF039B"/>
    <w:rsid w:val="00DF1A0A"/>
    <w:rsid w:val="00E04816"/>
    <w:rsid w:val="00E10C87"/>
    <w:rsid w:val="00E1128F"/>
    <w:rsid w:val="00E30AA1"/>
    <w:rsid w:val="00E411A8"/>
    <w:rsid w:val="00E460F7"/>
    <w:rsid w:val="00E55317"/>
    <w:rsid w:val="00E66DB8"/>
    <w:rsid w:val="00E911BB"/>
    <w:rsid w:val="00E9559B"/>
    <w:rsid w:val="00EC3FC1"/>
    <w:rsid w:val="00ED3EED"/>
    <w:rsid w:val="00EE5795"/>
    <w:rsid w:val="00EE77C9"/>
    <w:rsid w:val="00EF3AAB"/>
    <w:rsid w:val="00F04432"/>
    <w:rsid w:val="00F07870"/>
    <w:rsid w:val="00F31C9F"/>
    <w:rsid w:val="00F35FF6"/>
    <w:rsid w:val="00F37C22"/>
    <w:rsid w:val="00F547B9"/>
    <w:rsid w:val="00F62F09"/>
    <w:rsid w:val="00F70EA4"/>
    <w:rsid w:val="00F86C85"/>
    <w:rsid w:val="00FB3A9C"/>
    <w:rsid w:val="00FD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B5B8F0"/>
  <w15:docId w15:val="{E649F433-E370-41B9-A546-A8D6944F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7A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7A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7A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nderTitle">
    <w:name w:val="Tender Title"/>
    <w:basedOn w:val="Normal"/>
    <w:link w:val="TenderTitleChar"/>
    <w:rsid w:val="00537E28"/>
    <w:pPr>
      <w:spacing w:after="200" w:line="276" w:lineRule="auto"/>
      <w:jc w:val="center"/>
    </w:pPr>
    <w:rPr>
      <w:rFonts w:ascii="Georgia" w:eastAsia="Times New Roman" w:hAnsi="Georgia" w:cs="Times New Roman"/>
      <w:b/>
      <w:color w:val="605270"/>
      <w:sz w:val="40"/>
      <w:szCs w:val="40"/>
    </w:rPr>
  </w:style>
  <w:style w:type="character" w:customStyle="1" w:styleId="TenderTitleChar">
    <w:name w:val="Tender Title Char"/>
    <w:basedOn w:val="DefaultParagraphFont"/>
    <w:link w:val="TenderTitle"/>
    <w:locked/>
    <w:rsid w:val="00537E28"/>
    <w:rPr>
      <w:rFonts w:ascii="Georgia" w:eastAsia="Times New Roman" w:hAnsi="Georgia" w:cs="Times New Roman"/>
      <w:b/>
      <w:color w:val="605270"/>
      <w:sz w:val="40"/>
      <w:szCs w:val="40"/>
    </w:rPr>
  </w:style>
  <w:style w:type="paragraph" w:styleId="ListParagraph">
    <w:name w:val="List Paragraph"/>
    <w:basedOn w:val="Normal"/>
    <w:uiPriority w:val="34"/>
    <w:qFormat/>
    <w:rsid w:val="00537E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4C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C0F"/>
  </w:style>
  <w:style w:type="paragraph" w:styleId="Footer">
    <w:name w:val="footer"/>
    <w:basedOn w:val="Normal"/>
    <w:link w:val="FooterChar"/>
    <w:uiPriority w:val="99"/>
    <w:unhideWhenUsed/>
    <w:rsid w:val="000B4C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C0F"/>
  </w:style>
  <w:style w:type="table" w:styleId="TableGrid">
    <w:name w:val="Table Grid"/>
    <w:basedOn w:val="TableNormal"/>
    <w:uiPriority w:val="39"/>
    <w:rsid w:val="003B1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7814"/>
    <w:rPr>
      <w:color w:val="0563C1" w:themeColor="hyperlink"/>
      <w:u w:val="single"/>
    </w:rPr>
  </w:style>
  <w:style w:type="paragraph" w:customStyle="1" w:styleId="ETFBody">
    <w:name w:val="ETF Body"/>
    <w:basedOn w:val="Normal"/>
    <w:link w:val="ETFBodyChar"/>
    <w:qFormat/>
    <w:rsid w:val="009E16F8"/>
    <w:rPr>
      <w:rFonts w:ascii="Arial" w:hAnsi="Arial" w:cs="Arial"/>
      <w:sz w:val="20"/>
      <w:szCs w:val="20"/>
    </w:rPr>
  </w:style>
  <w:style w:type="character" w:customStyle="1" w:styleId="ETFBodyChar">
    <w:name w:val="ETF Body Char"/>
    <w:basedOn w:val="DefaultParagraphFont"/>
    <w:link w:val="ETFBody"/>
    <w:rsid w:val="009E16F8"/>
    <w:rPr>
      <w:rFonts w:ascii="Arial" w:hAnsi="Arial" w:cs="Arial"/>
      <w:sz w:val="20"/>
      <w:szCs w:val="20"/>
    </w:rPr>
  </w:style>
  <w:style w:type="character" w:customStyle="1" w:styleId="Strong1">
    <w:name w:val="Strong1"/>
    <w:basedOn w:val="DefaultParagraphFont"/>
    <w:rsid w:val="00B8340D"/>
  </w:style>
  <w:style w:type="character" w:customStyle="1" w:styleId="apple-converted-space">
    <w:name w:val="apple-converted-space"/>
    <w:basedOn w:val="DefaultParagraphFont"/>
    <w:rsid w:val="00B8340D"/>
  </w:style>
  <w:style w:type="character" w:styleId="FollowedHyperlink">
    <w:name w:val="FollowedHyperlink"/>
    <w:basedOn w:val="DefaultParagraphFont"/>
    <w:uiPriority w:val="99"/>
    <w:semiHidden/>
    <w:unhideWhenUsed/>
    <w:rsid w:val="0044083F"/>
    <w:rPr>
      <w:color w:val="954F72" w:themeColor="followedHyperlink"/>
      <w:u w:val="single"/>
    </w:rPr>
  </w:style>
  <w:style w:type="paragraph" w:customStyle="1" w:styleId="FoundationHeading1">
    <w:name w:val="Foundation Heading 1"/>
    <w:basedOn w:val="ETFBody"/>
    <w:link w:val="FoundationHeading1Char"/>
    <w:rsid w:val="00274879"/>
    <w:pPr>
      <w:numPr>
        <w:numId w:val="1"/>
      </w:numPr>
    </w:pPr>
    <w:rPr>
      <w:color w:val="1EA7B5"/>
      <w:sz w:val="28"/>
      <w:szCs w:val="28"/>
    </w:rPr>
  </w:style>
  <w:style w:type="paragraph" w:customStyle="1" w:styleId="Foundationheading1new">
    <w:name w:val="Foundation heading 1 new"/>
    <w:basedOn w:val="ETFBody"/>
    <w:link w:val="Foundationheading1newChar"/>
    <w:qFormat/>
    <w:rsid w:val="00A60601"/>
    <w:pPr>
      <w:numPr>
        <w:numId w:val="2"/>
      </w:numPr>
    </w:pPr>
    <w:rPr>
      <w:color w:val="1EA7B5"/>
      <w:sz w:val="36"/>
      <w:szCs w:val="36"/>
    </w:rPr>
  </w:style>
  <w:style w:type="character" w:customStyle="1" w:styleId="FoundationHeading1Char">
    <w:name w:val="Foundation Heading 1 Char"/>
    <w:basedOn w:val="ETFBodyChar"/>
    <w:link w:val="FoundationHeading1"/>
    <w:rsid w:val="00274879"/>
    <w:rPr>
      <w:rFonts w:ascii="Arial" w:hAnsi="Arial" w:cs="Arial"/>
      <w:color w:val="1EA7B5"/>
      <w:sz w:val="28"/>
      <w:szCs w:val="28"/>
    </w:rPr>
  </w:style>
  <w:style w:type="paragraph" w:customStyle="1" w:styleId="FoundationHeading2">
    <w:name w:val="Foundation Heading 2"/>
    <w:basedOn w:val="ETFBody"/>
    <w:link w:val="FoundationHeading2Char"/>
    <w:qFormat/>
    <w:rsid w:val="00637434"/>
    <w:pPr>
      <w:numPr>
        <w:ilvl w:val="1"/>
        <w:numId w:val="2"/>
      </w:numPr>
      <w:ind w:left="284" w:hanging="284"/>
    </w:pPr>
    <w:rPr>
      <w:color w:val="1EA7B5"/>
      <w:sz w:val="28"/>
      <w:szCs w:val="28"/>
    </w:rPr>
  </w:style>
  <w:style w:type="character" w:customStyle="1" w:styleId="Foundationheading1newChar">
    <w:name w:val="Foundation heading 1 new Char"/>
    <w:basedOn w:val="ETFBodyChar"/>
    <w:link w:val="Foundationheading1new"/>
    <w:rsid w:val="00A60601"/>
    <w:rPr>
      <w:rFonts w:ascii="Arial" w:hAnsi="Arial" w:cs="Arial"/>
      <w:color w:val="1EA7B5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567A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undationHeading2Char">
    <w:name w:val="Foundation Heading 2 Char"/>
    <w:basedOn w:val="ETFBodyChar"/>
    <w:link w:val="FoundationHeading2"/>
    <w:rsid w:val="00637434"/>
    <w:rPr>
      <w:rFonts w:ascii="Arial" w:hAnsi="Arial" w:cs="Arial"/>
      <w:color w:val="1EA7B5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567AF4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567A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7AF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567AF4"/>
    <w:pPr>
      <w:spacing w:after="100"/>
      <w:ind w:left="220"/>
    </w:pPr>
  </w:style>
  <w:style w:type="paragraph" w:customStyle="1" w:styleId="ETFpink">
    <w:name w:val="ETF pink"/>
    <w:basedOn w:val="ETFBody"/>
    <w:link w:val="ETFpinkChar"/>
    <w:qFormat/>
    <w:rsid w:val="000F1EC1"/>
    <w:rPr>
      <w:color w:val="DA1C5C"/>
    </w:rPr>
  </w:style>
  <w:style w:type="character" w:customStyle="1" w:styleId="ETFpinkChar">
    <w:name w:val="ETF pink Char"/>
    <w:basedOn w:val="ETFBodyChar"/>
    <w:link w:val="ETFpink"/>
    <w:rsid w:val="000F1EC1"/>
    <w:rPr>
      <w:rFonts w:ascii="Georgia" w:hAnsi="Georgia" w:cs="Arial"/>
      <w:color w:val="DA1C5C"/>
      <w:sz w:val="20"/>
      <w:szCs w:val="20"/>
    </w:rPr>
  </w:style>
  <w:style w:type="paragraph" w:customStyle="1" w:styleId="ETFLargeSectionheader">
    <w:name w:val="ETF Large Section header"/>
    <w:basedOn w:val="TenderTitle"/>
    <w:link w:val="ETFLargeSectionheaderChar"/>
    <w:qFormat/>
    <w:rsid w:val="009E16F8"/>
    <w:pPr>
      <w:numPr>
        <w:numId w:val="4"/>
      </w:numPr>
      <w:ind w:left="851" w:hanging="851"/>
      <w:contextualSpacing/>
      <w:jc w:val="left"/>
    </w:pPr>
    <w:rPr>
      <w:rFonts w:cs="Arial"/>
      <w:b w:val="0"/>
      <w:sz w:val="50"/>
      <w:szCs w:val="50"/>
    </w:rPr>
  </w:style>
  <w:style w:type="paragraph" w:customStyle="1" w:styleId="ETFsub-header">
    <w:name w:val="ETF sub-header"/>
    <w:basedOn w:val="ETFpink"/>
    <w:qFormat/>
    <w:rsid w:val="009E16F8"/>
    <w:pPr>
      <w:numPr>
        <w:ilvl w:val="1"/>
        <w:numId w:val="4"/>
      </w:numPr>
      <w:tabs>
        <w:tab w:val="left" w:pos="0"/>
      </w:tabs>
      <w:spacing w:after="120" w:line="276" w:lineRule="auto"/>
      <w:ind w:left="851" w:hanging="851"/>
      <w:jc w:val="both"/>
    </w:pPr>
    <w:rPr>
      <w:rFonts w:eastAsia="Times New Roman"/>
      <w:color w:val="605270"/>
      <w:sz w:val="36"/>
      <w:szCs w:val="36"/>
    </w:rPr>
  </w:style>
  <w:style w:type="character" w:customStyle="1" w:styleId="ETFLargeSectionheaderChar">
    <w:name w:val="ETF Large Section header Char"/>
    <w:basedOn w:val="TenderTitleChar"/>
    <w:link w:val="ETFLargeSectionheader"/>
    <w:rsid w:val="009E16F8"/>
    <w:rPr>
      <w:rFonts w:ascii="Georgia" w:eastAsia="Times New Roman" w:hAnsi="Georgia" w:cs="Arial"/>
      <w:b w:val="0"/>
      <w:color w:val="605270"/>
      <w:sz w:val="50"/>
      <w:szCs w:val="50"/>
    </w:rPr>
  </w:style>
  <w:style w:type="paragraph" w:customStyle="1" w:styleId="ETFHeading1">
    <w:name w:val="ETF Heading 1"/>
    <w:basedOn w:val="Heading1"/>
    <w:link w:val="ETFHeading1Char"/>
    <w:qFormat/>
    <w:rsid w:val="009E16F8"/>
    <w:pPr>
      <w:keepNext w:val="0"/>
      <w:keepLines w:val="0"/>
      <w:widowControl w:val="0"/>
      <w:numPr>
        <w:numId w:val="5"/>
      </w:numPr>
      <w:autoSpaceDE w:val="0"/>
      <w:autoSpaceDN w:val="0"/>
      <w:spacing w:before="100" w:beforeAutospacing="1" w:after="120" w:line="260" w:lineRule="exact"/>
      <w:ind w:left="567" w:hanging="567"/>
    </w:pPr>
    <w:rPr>
      <w:rFonts w:ascii="Arial" w:hAnsi="Arial" w:cs="Arial"/>
      <w:b/>
      <w:color w:val="BE0064"/>
      <w:sz w:val="24"/>
      <w:szCs w:val="24"/>
    </w:rPr>
  </w:style>
  <w:style w:type="paragraph" w:customStyle="1" w:styleId="ETF-Subhead">
    <w:name w:val="ETF - Sub head"/>
    <w:basedOn w:val="Normal"/>
    <w:qFormat/>
    <w:rsid w:val="009E16F8"/>
    <w:pPr>
      <w:widowControl w:val="0"/>
      <w:numPr>
        <w:ilvl w:val="1"/>
        <w:numId w:val="5"/>
      </w:numPr>
      <w:autoSpaceDE w:val="0"/>
      <w:autoSpaceDN w:val="0"/>
      <w:spacing w:after="120" w:line="260" w:lineRule="exact"/>
      <w:ind w:left="567" w:hanging="567"/>
      <w:outlineLvl w:val="0"/>
    </w:pPr>
    <w:rPr>
      <w:rFonts w:ascii="Arial" w:eastAsia="Bryant Regular" w:hAnsi="Arial" w:cs="Bryant Regular"/>
      <w:b/>
      <w:color w:val="BE0064"/>
      <w:sz w:val="24"/>
      <w:szCs w:val="24"/>
    </w:rPr>
  </w:style>
  <w:style w:type="character" w:customStyle="1" w:styleId="ETFHeading1Char">
    <w:name w:val="ETF Heading 1 Char"/>
    <w:basedOn w:val="Heading1Char"/>
    <w:link w:val="ETFHeading1"/>
    <w:rsid w:val="009E16F8"/>
    <w:rPr>
      <w:rFonts w:ascii="Arial" w:eastAsiaTheme="majorEastAsia" w:hAnsi="Arial" w:cs="Arial"/>
      <w:b/>
      <w:color w:val="BE0064"/>
      <w:sz w:val="24"/>
      <w:szCs w:val="24"/>
    </w:rPr>
  </w:style>
  <w:style w:type="paragraph" w:customStyle="1" w:styleId="ETFheadnonumber">
    <w:name w:val="ETF head no number"/>
    <w:basedOn w:val="Foundationheading1new"/>
    <w:link w:val="ETFheadnonumberChar"/>
    <w:qFormat/>
    <w:rsid w:val="009E16F8"/>
    <w:pPr>
      <w:numPr>
        <w:numId w:val="0"/>
      </w:numPr>
      <w:ind w:left="360" w:hanging="360"/>
    </w:pPr>
    <w:rPr>
      <w:b/>
      <w:color w:val="BE0064"/>
      <w:sz w:val="24"/>
      <w:szCs w:val="24"/>
    </w:rPr>
  </w:style>
  <w:style w:type="paragraph" w:customStyle="1" w:styleId="ETFbullets">
    <w:name w:val="ETF bullets"/>
    <w:basedOn w:val="ETFBody"/>
    <w:link w:val="ETFbulletsChar"/>
    <w:qFormat/>
    <w:rsid w:val="009E16F8"/>
    <w:pPr>
      <w:numPr>
        <w:numId w:val="14"/>
      </w:numPr>
      <w:contextualSpacing/>
    </w:pPr>
  </w:style>
  <w:style w:type="character" w:customStyle="1" w:styleId="ETFheadnonumberChar">
    <w:name w:val="ETF head no number Char"/>
    <w:basedOn w:val="Foundationheading1newChar"/>
    <w:link w:val="ETFheadnonumber"/>
    <w:rsid w:val="009E16F8"/>
    <w:rPr>
      <w:rFonts w:ascii="Arial" w:hAnsi="Arial" w:cs="Arial"/>
      <w:b/>
      <w:color w:val="BE0064"/>
      <w:sz w:val="24"/>
      <w:szCs w:val="24"/>
    </w:rPr>
  </w:style>
  <w:style w:type="paragraph" w:customStyle="1" w:styleId="ETFpurple">
    <w:name w:val="ETF purple"/>
    <w:basedOn w:val="TenderTitle"/>
    <w:link w:val="ETFpurpleChar"/>
    <w:qFormat/>
    <w:rsid w:val="0007485A"/>
    <w:pPr>
      <w:contextualSpacing/>
      <w:jc w:val="left"/>
    </w:pPr>
    <w:rPr>
      <w:rFonts w:cs="Arial"/>
      <w:color w:val="BE0064"/>
      <w:sz w:val="28"/>
      <w:szCs w:val="28"/>
    </w:rPr>
  </w:style>
  <w:style w:type="character" w:customStyle="1" w:styleId="ETFbulletsChar">
    <w:name w:val="ETF bullets Char"/>
    <w:basedOn w:val="ETFBodyChar"/>
    <w:link w:val="ETFbullets"/>
    <w:rsid w:val="009E16F8"/>
    <w:rPr>
      <w:rFonts w:ascii="Arial" w:hAnsi="Arial" w:cs="Arial"/>
      <w:sz w:val="20"/>
      <w:szCs w:val="20"/>
    </w:rPr>
  </w:style>
  <w:style w:type="character" w:customStyle="1" w:styleId="ETFpurpleChar">
    <w:name w:val="ETF purple Char"/>
    <w:basedOn w:val="TenderTitleChar"/>
    <w:link w:val="ETFpurple"/>
    <w:rsid w:val="0007485A"/>
    <w:rPr>
      <w:rFonts w:ascii="Georgia" w:eastAsia="Times New Roman" w:hAnsi="Georgia" w:cs="Arial"/>
      <w:b/>
      <w:color w:val="BE0064"/>
      <w:sz w:val="28"/>
      <w:szCs w:val="28"/>
    </w:rPr>
  </w:style>
  <w:style w:type="paragraph" w:customStyle="1" w:styleId="LargeTextForImpactLeafletHeading">
    <w:name w:val="Large Text For Impact / Leaflet Heading"/>
    <w:basedOn w:val="Normal"/>
    <w:uiPriority w:val="1"/>
    <w:qFormat/>
    <w:rsid w:val="0007485A"/>
    <w:pPr>
      <w:widowControl w:val="0"/>
      <w:autoSpaceDE w:val="0"/>
      <w:autoSpaceDN w:val="0"/>
      <w:spacing w:after="0" w:line="800" w:lineRule="exact"/>
    </w:pPr>
    <w:rPr>
      <w:rFonts w:ascii="Arial" w:eastAsia="Bryant Regular" w:hAnsi="Arial" w:cs="Bryant Regular"/>
      <w:b/>
      <w:caps/>
      <w:sz w:val="84"/>
      <w:szCs w:val="84"/>
    </w:rPr>
  </w:style>
  <w:style w:type="paragraph" w:customStyle="1" w:styleId="URLText">
    <w:name w:val="URL Text"/>
    <w:basedOn w:val="Normal"/>
    <w:uiPriority w:val="1"/>
    <w:qFormat/>
    <w:rsid w:val="0007485A"/>
    <w:pPr>
      <w:widowControl w:val="0"/>
      <w:autoSpaceDE w:val="0"/>
      <w:autoSpaceDN w:val="0"/>
      <w:spacing w:before="340" w:after="0" w:line="360" w:lineRule="exact"/>
    </w:pPr>
    <w:rPr>
      <w:rFonts w:ascii="Arial" w:eastAsia="Bryant Regular" w:hAnsi="Arial" w:cs="Bryant Regular"/>
      <w:caps/>
      <w:sz w:val="36"/>
      <w:szCs w:val="36"/>
    </w:rPr>
  </w:style>
  <w:style w:type="paragraph" w:customStyle="1" w:styleId="Answers">
    <w:name w:val="Answers"/>
    <w:basedOn w:val="Normal"/>
    <w:link w:val="AnswersChar"/>
    <w:qFormat/>
    <w:rsid w:val="00E04816"/>
    <w:pPr>
      <w:spacing w:after="0"/>
      <w:ind w:left="720"/>
    </w:pPr>
    <w:rPr>
      <w:rFonts w:ascii="Arial" w:hAnsi="Arial" w:cs="Arial"/>
    </w:rPr>
  </w:style>
  <w:style w:type="paragraph" w:customStyle="1" w:styleId="Questions">
    <w:name w:val="Questions"/>
    <w:basedOn w:val="ListParagraph"/>
    <w:link w:val="QuestionsChar"/>
    <w:qFormat/>
    <w:rsid w:val="00E04816"/>
    <w:pPr>
      <w:numPr>
        <w:numId w:val="15"/>
      </w:numPr>
    </w:pPr>
    <w:rPr>
      <w:rFonts w:ascii="Arial" w:hAnsi="Arial" w:cs="Arial"/>
    </w:rPr>
  </w:style>
  <w:style w:type="character" w:customStyle="1" w:styleId="AnswersChar">
    <w:name w:val="Answers Char"/>
    <w:basedOn w:val="DefaultParagraphFont"/>
    <w:link w:val="Answers"/>
    <w:rsid w:val="00E04816"/>
    <w:rPr>
      <w:rFonts w:ascii="Arial" w:hAnsi="Arial" w:cs="Arial"/>
    </w:rPr>
  </w:style>
  <w:style w:type="character" w:customStyle="1" w:styleId="QuestionsChar">
    <w:name w:val="Questions Char"/>
    <w:basedOn w:val="DefaultParagraphFont"/>
    <w:link w:val="Questions"/>
    <w:rsid w:val="00E0481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2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BD1AD-E28D-4175-B970-A6E7E4758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Lay</dc:creator>
  <cp:lastModifiedBy>charlie</cp:lastModifiedBy>
  <cp:revision>2</cp:revision>
  <dcterms:created xsi:type="dcterms:W3CDTF">2020-12-12T12:32:00Z</dcterms:created>
  <dcterms:modified xsi:type="dcterms:W3CDTF">2020-12-12T12:32:00Z</dcterms:modified>
</cp:coreProperties>
</file>