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00D93" w14:textId="2219F709" w:rsidR="007B0A90" w:rsidRDefault="007B0A9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D7D9F" w14:paraId="6A7759F1" w14:textId="77777777" w:rsidTr="00D93649">
        <w:tc>
          <w:tcPr>
            <w:tcW w:w="4508" w:type="dxa"/>
          </w:tcPr>
          <w:p w14:paraId="319B891A" w14:textId="77777777" w:rsidR="00CD7D9F" w:rsidRDefault="00CD7D9F" w:rsidP="00D93649">
            <w:pPr>
              <w:rPr>
                <w:rFonts w:ascii="Arial" w:eastAsia="Times New Roman" w:hAnsi="Arial" w:cs="Arial"/>
                <w:b/>
                <w:bCs/>
                <w:sz w:val="28"/>
                <w:szCs w:val="28"/>
              </w:rPr>
            </w:pPr>
            <w:r>
              <w:rPr>
                <w:rFonts w:ascii="Arial" w:eastAsia="Times New Roman" w:hAnsi="Arial" w:cs="Arial"/>
                <w:b/>
                <w:bCs/>
                <w:noProof/>
                <w:sz w:val="28"/>
                <w:szCs w:val="28"/>
              </w:rPr>
              <w:drawing>
                <wp:anchor distT="0" distB="0" distL="114300" distR="114300" simplePos="0" relativeHeight="251660288" behindDoc="0" locked="0" layoutInCell="1" allowOverlap="1" wp14:anchorId="65C13D6F" wp14:editId="415EC755">
                  <wp:simplePos x="0" y="0"/>
                  <wp:positionH relativeFrom="column">
                    <wp:posOffset>74295</wp:posOffset>
                  </wp:positionH>
                  <wp:positionV relativeFrom="paragraph">
                    <wp:posOffset>107950</wp:posOffset>
                  </wp:positionV>
                  <wp:extent cx="2447925" cy="1067435"/>
                  <wp:effectExtent l="0" t="0" r="9525" b="0"/>
                  <wp:wrapSquare wrapText="bothSides"/>
                  <wp:docPr id="12" name="Picture 1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7925" cy="1067435"/>
                          </a:xfrm>
                          <a:prstGeom prst="rect">
                            <a:avLst/>
                          </a:prstGeom>
                        </pic:spPr>
                      </pic:pic>
                    </a:graphicData>
                  </a:graphic>
                  <wp14:sizeRelH relativeFrom="page">
                    <wp14:pctWidth>0</wp14:pctWidth>
                  </wp14:sizeRelH>
                  <wp14:sizeRelV relativeFrom="page">
                    <wp14:pctHeight>0</wp14:pctHeight>
                  </wp14:sizeRelV>
                </wp:anchor>
              </w:drawing>
            </w:r>
          </w:p>
        </w:tc>
        <w:tc>
          <w:tcPr>
            <w:tcW w:w="4508" w:type="dxa"/>
          </w:tcPr>
          <w:p w14:paraId="36E7821D" w14:textId="77777777" w:rsidR="00CD7D9F" w:rsidRDefault="00CD7D9F" w:rsidP="00D93649">
            <w:pPr>
              <w:rPr>
                <w:rFonts w:ascii="Arial" w:eastAsia="Times New Roman" w:hAnsi="Arial" w:cs="Arial"/>
                <w:b/>
                <w:bCs/>
                <w:sz w:val="28"/>
                <w:szCs w:val="28"/>
              </w:rPr>
            </w:pPr>
            <w:r>
              <w:rPr>
                <w:rFonts w:ascii="Arial" w:eastAsia="Times New Roman" w:hAnsi="Arial" w:cs="Arial"/>
                <w:b/>
                <w:bCs/>
                <w:noProof/>
                <w:sz w:val="28"/>
                <w:szCs w:val="28"/>
              </w:rPr>
              <w:drawing>
                <wp:anchor distT="0" distB="0" distL="114300" distR="114300" simplePos="0" relativeHeight="251659264" behindDoc="0" locked="0" layoutInCell="1" allowOverlap="1" wp14:anchorId="6C11D2F4" wp14:editId="02D6DAFF">
                  <wp:simplePos x="0" y="0"/>
                  <wp:positionH relativeFrom="column">
                    <wp:posOffset>69215</wp:posOffset>
                  </wp:positionH>
                  <wp:positionV relativeFrom="paragraph">
                    <wp:posOffset>212725</wp:posOffset>
                  </wp:positionV>
                  <wp:extent cx="2524125" cy="788035"/>
                  <wp:effectExtent l="0" t="0" r="9525" b="0"/>
                  <wp:wrapSquare wrapText="bothSides"/>
                  <wp:docPr id="14" name="Picture 1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4125" cy="788035"/>
                          </a:xfrm>
                          <a:prstGeom prst="rect">
                            <a:avLst/>
                          </a:prstGeom>
                        </pic:spPr>
                      </pic:pic>
                    </a:graphicData>
                  </a:graphic>
                  <wp14:sizeRelH relativeFrom="page">
                    <wp14:pctWidth>0</wp14:pctWidth>
                  </wp14:sizeRelH>
                  <wp14:sizeRelV relativeFrom="page">
                    <wp14:pctHeight>0</wp14:pctHeight>
                  </wp14:sizeRelV>
                </wp:anchor>
              </w:drawing>
            </w:r>
          </w:p>
        </w:tc>
      </w:tr>
      <w:tr w:rsidR="00CD7D9F" w14:paraId="5C91C325" w14:textId="77777777" w:rsidTr="00D93649">
        <w:tc>
          <w:tcPr>
            <w:tcW w:w="9016" w:type="dxa"/>
            <w:gridSpan w:val="2"/>
          </w:tcPr>
          <w:p w14:paraId="7FC2505C" w14:textId="77777777" w:rsidR="00CD7D9F" w:rsidRPr="002A16E4" w:rsidRDefault="00CD7D9F" w:rsidP="00D93649">
            <w:pPr>
              <w:jc w:val="center"/>
              <w:rPr>
                <w:rFonts w:ascii="Arial" w:eastAsia="Times New Roman" w:hAnsi="Arial" w:cs="Arial"/>
                <w:b/>
                <w:bCs/>
                <w:color w:val="2A2853"/>
                <w:sz w:val="40"/>
                <w:szCs w:val="40"/>
              </w:rPr>
            </w:pPr>
            <w:r w:rsidRPr="00FE5DD3">
              <w:rPr>
                <w:rFonts w:ascii="Arial" w:eastAsia="Times New Roman" w:hAnsi="Arial" w:cs="Arial"/>
                <w:b/>
                <w:bCs/>
                <w:color w:val="2A2853"/>
                <w:sz w:val="40"/>
                <w:szCs w:val="40"/>
              </w:rPr>
              <w:t>Digital Development Programme for Adult Community Education Providers (Digital ACE)</w:t>
            </w:r>
          </w:p>
        </w:tc>
      </w:tr>
      <w:tr w:rsidR="00CD7D9F" w:rsidRPr="002A16E4" w14:paraId="24C647E7" w14:textId="77777777" w:rsidTr="00D93649">
        <w:tc>
          <w:tcPr>
            <w:tcW w:w="9016" w:type="dxa"/>
            <w:gridSpan w:val="2"/>
          </w:tcPr>
          <w:p w14:paraId="5EF847AB" w14:textId="77777777" w:rsidR="00CD7D9F" w:rsidRDefault="00CD7D9F" w:rsidP="00D93649">
            <w:pPr>
              <w:jc w:val="center"/>
              <w:rPr>
                <w:rFonts w:ascii="Arial" w:eastAsia="Times New Roman" w:hAnsi="Arial" w:cs="Arial"/>
                <w:b/>
                <w:bCs/>
                <w:color w:val="2A2853"/>
                <w:sz w:val="72"/>
                <w:szCs w:val="72"/>
              </w:rPr>
            </w:pPr>
          </w:p>
          <w:p w14:paraId="75E2542B" w14:textId="4C2A2CFD" w:rsidR="00CD7D9F" w:rsidRDefault="003E7EC8" w:rsidP="00D93649">
            <w:pPr>
              <w:spacing w:after="120"/>
              <w:jc w:val="center"/>
              <w:rPr>
                <w:rFonts w:ascii="Arial" w:eastAsia="Times New Roman" w:hAnsi="Arial" w:cs="Arial"/>
                <w:b/>
                <w:bCs/>
                <w:color w:val="2A2853"/>
                <w:sz w:val="72"/>
                <w:szCs w:val="72"/>
              </w:rPr>
            </w:pPr>
            <w:r>
              <w:rPr>
                <w:rFonts w:ascii="Arial" w:eastAsia="Times New Roman" w:hAnsi="Arial" w:cs="Arial"/>
                <w:b/>
                <w:bCs/>
                <w:color w:val="2A2853"/>
                <w:sz w:val="72"/>
                <w:szCs w:val="72"/>
              </w:rPr>
              <w:t xml:space="preserve">Collation of links to </w:t>
            </w:r>
            <w:r w:rsidR="00501274">
              <w:rPr>
                <w:rFonts w:ascii="Arial" w:eastAsia="Times New Roman" w:hAnsi="Arial" w:cs="Arial"/>
                <w:b/>
                <w:bCs/>
                <w:color w:val="2A2853"/>
                <w:sz w:val="72"/>
                <w:szCs w:val="72"/>
              </w:rPr>
              <w:t xml:space="preserve">Digital ACE </w:t>
            </w:r>
            <w:r>
              <w:rPr>
                <w:rFonts w:ascii="Arial" w:eastAsia="Times New Roman" w:hAnsi="Arial" w:cs="Arial"/>
                <w:b/>
                <w:bCs/>
                <w:color w:val="2A2853"/>
                <w:sz w:val="72"/>
                <w:szCs w:val="72"/>
              </w:rPr>
              <w:t>resources</w:t>
            </w:r>
          </w:p>
          <w:p w14:paraId="06C3E8CA" w14:textId="628E6C01" w:rsidR="00CD7D9F" w:rsidRPr="00707498" w:rsidRDefault="00CD7D9F" w:rsidP="00D93649">
            <w:pPr>
              <w:jc w:val="center"/>
              <w:rPr>
                <w:rFonts w:ascii="Arial" w:eastAsia="Times New Roman" w:hAnsi="Arial" w:cs="Arial"/>
                <w:b/>
                <w:bCs/>
                <w:color w:val="2A2853"/>
                <w:sz w:val="28"/>
                <w:szCs w:val="28"/>
              </w:rPr>
            </w:pPr>
          </w:p>
        </w:tc>
      </w:tr>
    </w:tbl>
    <w:p w14:paraId="7F3CC497" w14:textId="77777777" w:rsidR="00A569BA" w:rsidRDefault="00A569BA" w:rsidP="00A569BA">
      <w:pPr>
        <w:pStyle w:val="Heading1"/>
        <w:shd w:val="clear" w:color="auto" w:fill="FFFFFF"/>
        <w:spacing w:before="0" w:beforeAutospacing="0" w:after="0" w:afterAutospacing="0" w:line="240" w:lineRule="atLeast"/>
        <w:textAlignment w:val="baseline"/>
        <w:rPr>
          <w:rFonts w:ascii="Arial" w:hAnsi="Arial" w:cs="Arial"/>
          <w:sz w:val="53"/>
          <w:szCs w:val="53"/>
        </w:rPr>
      </w:pPr>
    </w:p>
    <w:p w14:paraId="3E7347AA" w14:textId="1CFD71B5" w:rsidR="00A569BA" w:rsidRPr="003E7EC8" w:rsidRDefault="003E7EC8" w:rsidP="003E7EC8">
      <w:pPr>
        <w:pStyle w:val="DANavybullet"/>
        <w:numPr>
          <w:ilvl w:val="0"/>
          <w:numId w:val="0"/>
        </w:numPr>
        <w:jc w:val="center"/>
        <w:rPr>
          <w:sz w:val="32"/>
          <w:szCs w:val="32"/>
        </w:rPr>
      </w:pPr>
      <w:r w:rsidRPr="003E7EC8">
        <w:rPr>
          <w:sz w:val="32"/>
          <w:szCs w:val="32"/>
        </w:rPr>
        <w:t xml:space="preserve">This document provides an overview of Digital ACE resources and a summary of links to materials that are available online via </w:t>
      </w:r>
      <w:hyperlink r:id="rId9" w:history="1">
        <w:r w:rsidRPr="003E7EC8">
          <w:rPr>
            <w:rStyle w:val="Hyperlink"/>
            <w:sz w:val="32"/>
            <w:szCs w:val="32"/>
          </w:rPr>
          <w:t>Digital ACE | Holex</w:t>
        </w:r>
      </w:hyperlink>
      <w:r>
        <w:rPr>
          <w:sz w:val="32"/>
          <w:szCs w:val="32"/>
        </w:rPr>
        <w:t>.</w:t>
      </w:r>
    </w:p>
    <w:p w14:paraId="44AC29BA" w14:textId="1BC99499" w:rsidR="003E7EC8" w:rsidRDefault="003E7EC8" w:rsidP="00A569BA">
      <w:pPr>
        <w:pStyle w:val="Heading1"/>
        <w:shd w:val="clear" w:color="auto" w:fill="FFFFFF"/>
        <w:spacing w:before="0" w:beforeAutospacing="0" w:after="0" w:afterAutospacing="0" w:line="240" w:lineRule="atLeast"/>
        <w:textAlignment w:val="baseline"/>
        <w:rPr>
          <w:rFonts w:ascii="Arial" w:hAnsi="Arial" w:cs="Arial"/>
          <w:sz w:val="53"/>
          <w:szCs w:val="53"/>
        </w:rPr>
      </w:pPr>
    </w:p>
    <w:p w14:paraId="7BEFFBB0" w14:textId="55A5118E" w:rsidR="003E7EC8" w:rsidRDefault="003E7EC8" w:rsidP="003E7EC8">
      <w:pPr>
        <w:pStyle w:val="DigitalACEheading"/>
        <w:numPr>
          <w:ilvl w:val="0"/>
          <w:numId w:val="0"/>
        </w:numPr>
        <w:ind w:left="360" w:hanging="360"/>
      </w:pPr>
    </w:p>
    <w:p w14:paraId="389F5578" w14:textId="539EB11D" w:rsidR="003E7EC8" w:rsidRDefault="003E7EC8" w:rsidP="003E7EC8">
      <w:pPr>
        <w:pStyle w:val="DigitalACEheading"/>
        <w:numPr>
          <w:ilvl w:val="0"/>
          <w:numId w:val="0"/>
        </w:numPr>
        <w:ind w:left="360" w:hanging="360"/>
      </w:pPr>
    </w:p>
    <w:p w14:paraId="09FD7B2F" w14:textId="5C6B5ECA" w:rsidR="003E7EC8" w:rsidRDefault="003E7EC8" w:rsidP="003E7EC8">
      <w:pPr>
        <w:pStyle w:val="DigitalACEheading"/>
        <w:numPr>
          <w:ilvl w:val="0"/>
          <w:numId w:val="0"/>
        </w:numPr>
        <w:ind w:left="360" w:hanging="360"/>
      </w:pPr>
    </w:p>
    <w:p w14:paraId="1E204560" w14:textId="57122D1E" w:rsidR="003E7EC8" w:rsidRDefault="003E7EC8" w:rsidP="003E7EC8">
      <w:pPr>
        <w:pStyle w:val="DigitalACEheading"/>
        <w:numPr>
          <w:ilvl w:val="0"/>
          <w:numId w:val="0"/>
        </w:numPr>
        <w:ind w:left="360" w:hanging="360"/>
      </w:pPr>
    </w:p>
    <w:p w14:paraId="6F59CF68" w14:textId="6376BE1E" w:rsidR="003E7EC8" w:rsidRDefault="003E7EC8" w:rsidP="003E7EC8">
      <w:pPr>
        <w:pStyle w:val="DigitalACEheading"/>
        <w:numPr>
          <w:ilvl w:val="0"/>
          <w:numId w:val="0"/>
        </w:numPr>
        <w:ind w:left="360" w:hanging="360"/>
      </w:pPr>
    </w:p>
    <w:p w14:paraId="5D68701F" w14:textId="0AA22C55" w:rsidR="003E7EC8" w:rsidRDefault="003E7EC8" w:rsidP="003E7EC8">
      <w:pPr>
        <w:pStyle w:val="DigitalACEheading"/>
        <w:numPr>
          <w:ilvl w:val="0"/>
          <w:numId w:val="0"/>
        </w:numPr>
        <w:ind w:left="360" w:hanging="360"/>
      </w:pPr>
    </w:p>
    <w:p w14:paraId="0A8B6EE8" w14:textId="222A6C56" w:rsidR="003E7EC8" w:rsidRDefault="003E7EC8" w:rsidP="003E7EC8">
      <w:pPr>
        <w:pStyle w:val="DigitalACEheading"/>
        <w:numPr>
          <w:ilvl w:val="0"/>
          <w:numId w:val="0"/>
        </w:numPr>
        <w:ind w:left="360" w:hanging="360"/>
      </w:pPr>
    </w:p>
    <w:p w14:paraId="508ADF9B" w14:textId="7AB11845" w:rsidR="003E7EC8" w:rsidRDefault="003E7EC8" w:rsidP="003E7EC8">
      <w:pPr>
        <w:pStyle w:val="DigitalACEheading"/>
        <w:numPr>
          <w:ilvl w:val="0"/>
          <w:numId w:val="0"/>
        </w:numPr>
        <w:ind w:left="360" w:hanging="360"/>
      </w:pPr>
    </w:p>
    <w:p w14:paraId="76FCFC89" w14:textId="6270FC25" w:rsidR="003E7EC8" w:rsidRDefault="003E7EC8" w:rsidP="003E7EC8">
      <w:pPr>
        <w:pStyle w:val="DigitalACEheading"/>
        <w:numPr>
          <w:ilvl w:val="0"/>
          <w:numId w:val="0"/>
        </w:numPr>
        <w:ind w:left="360" w:hanging="360"/>
      </w:pPr>
    </w:p>
    <w:p w14:paraId="2385F255" w14:textId="64AE6704" w:rsidR="003E7EC8" w:rsidRDefault="003E7EC8" w:rsidP="003E7EC8">
      <w:pPr>
        <w:pStyle w:val="DigitalACEheading"/>
        <w:numPr>
          <w:ilvl w:val="0"/>
          <w:numId w:val="0"/>
        </w:numPr>
        <w:ind w:left="360" w:hanging="360"/>
      </w:pPr>
    </w:p>
    <w:p w14:paraId="11B2F0E1" w14:textId="18CF94D9" w:rsidR="003E7EC8" w:rsidRDefault="003E7EC8" w:rsidP="003E7EC8">
      <w:pPr>
        <w:pStyle w:val="DigitalACEheading"/>
        <w:numPr>
          <w:ilvl w:val="0"/>
          <w:numId w:val="0"/>
        </w:numPr>
        <w:ind w:left="360" w:hanging="360"/>
      </w:pPr>
    </w:p>
    <w:p w14:paraId="6E8E09A4" w14:textId="5A14DD5A" w:rsidR="003E7EC8" w:rsidRDefault="003E7EC8" w:rsidP="003E7EC8">
      <w:pPr>
        <w:pStyle w:val="DigitalACEheading"/>
        <w:numPr>
          <w:ilvl w:val="0"/>
          <w:numId w:val="0"/>
        </w:numPr>
        <w:ind w:left="360" w:hanging="360"/>
      </w:pPr>
    </w:p>
    <w:p w14:paraId="6D7C9A70" w14:textId="603DA53C" w:rsidR="003E7EC8" w:rsidRDefault="003E7EC8" w:rsidP="003E7EC8">
      <w:pPr>
        <w:pStyle w:val="DigitalACEheading"/>
        <w:numPr>
          <w:ilvl w:val="0"/>
          <w:numId w:val="0"/>
        </w:numPr>
        <w:ind w:left="360" w:hanging="360"/>
      </w:pPr>
    </w:p>
    <w:p w14:paraId="37F8D407" w14:textId="5FEAD33A" w:rsidR="003E7EC8" w:rsidRDefault="003E7EC8" w:rsidP="003E7EC8">
      <w:pPr>
        <w:pStyle w:val="DigitalACEheading"/>
        <w:numPr>
          <w:ilvl w:val="0"/>
          <w:numId w:val="0"/>
        </w:numPr>
        <w:ind w:left="360" w:hanging="360"/>
      </w:pPr>
    </w:p>
    <w:p w14:paraId="5F4D9C54" w14:textId="77777777" w:rsidR="00187AC4" w:rsidRDefault="00187AC4">
      <w:pPr>
        <w:rPr>
          <w:rFonts w:ascii="Arial" w:hAnsi="Arial" w:cs="Arial"/>
          <w:b/>
          <w:bCs/>
          <w:color w:val="2A2853"/>
          <w:sz w:val="28"/>
          <w:szCs w:val="28"/>
        </w:rPr>
      </w:pPr>
      <w:r>
        <w:br w:type="page"/>
      </w:r>
    </w:p>
    <w:p w14:paraId="1F5664C3" w14:textId="1853BB85" w:rsidR="003E7EC8" w:rsidRDefault="003E7EC8" w:rsidP="003E7EC8">
      <w:pPr>
        <w:pStyle w:val="DigitalACEheading"/>
      </w:pPr>
      <w:r>
        <w:lastRenderedPageBreak/>
        <w:t>Policy Guidance Materials</w:t>
      </w:r>
    </w:p>
    <w:p w14:paraId="315D5117" w14:textId="04C664EA" w:rsidR="003E7EC8" w:rsidRDefault="003E7EC8" w:rsidP="00A569BA">
      <w:pPr>
        <w:pStyle w:val="Heading1"/>
        <w:shd w:val="clear" w:color="auto" w:fill="FFFFFF"/>
        <w:spacing w:before="0" w:beforeAutospacing="0" w:after="0" w:afterAutospacing="0" w:line="240" w:lineRule="atLeast"/>
        <w:textAlignment w:val="baseline"/>
        <w:rPr>
          <w:rFonts w:ascii="Arial" w:hAnsi="Arial" w:cs="Arial"/>
          <w:sz w:val="24"/>
          <w:szCs w:val="24"/>
        </w:rPr>
      </w:pPr>
      <w:r w:rsidRPr="00187AC4">
        <w:rPr>
          <w:rStyle w:val="ReferencelinkChar"/>
          <w:b/>
          <w:bCs/>
        </w:rPr>
        <w:t>Policy guidance resources</w:t>
      </w:r>
      <w:r w:rsidRPr="003E7EC8">
        <w:rPr>
          <w:rFonts w:ascii="Arial" w:hAnsi="Arial" w:cs="Arial"/>
          <w:sz w:val="24"/>
          <w:szCs w:val="24"/>
        </w:rPr>
        <w:t xml:space="preserve"> </w:t>
      </w:r>
      <w:hyperlink r:id="rId10" w:history="1">
        <w:r w:rsidRPr="003E7EC8">
          <w:rPr>
            <w:rStyle w:val="Hyperlink"/>
            <w:rFonts w:ascii="Arial" w:hAnsi="Arial" w:cs="Arial"/>
            <w:sz w:val="24"/>
            <w:szCs w:val="24"/>
          </w:rPr>
          <w:t>page</w:t>
        </w:r>
      </w:hyperlink>
      <w:r w:rsidRPr="003E7EC8">
        <w:rPr>
          <w:rFonts w:ascii="Arial" w:hAnsi="Arial" w:cs="Arial"/>
          <w:sz w:val="24"/>
          <w:szCs w:val="24"/>
        </w:rPr>
        <w:t>.</w:t>
      </w:r>
    </w:p>
    <w:p w14:paraId="4A1A1E07" w14:textId="77777777" w:rsidR="003E7EC8" w:rsidRPr="003E7EC8" w:rsidRDefault="003E7EC8" w:rsidP="00A569BA">
      <w:pPr>
        <w:pStyle w:val="Heading1"/>
        <w:shd w:val="clear" w:color="auto" w:fill="FFFFFF"/>
        <w:spacing w:before="0" w:beforeAutospacing="0" w:after="0" w:afterAutospacing="0" w:line="240" w:lineRule="atLeast"/>
        <w:textAlignment w:val="baseline"/>
        <w:rPr>
          <w:rFonts w:ascii="Arial" w:hAnsi="Arial" w:cs="Arial"/>
          <w:sz w:val="24"/>
          <w:szCs w:val="24"/>
        </w:rPr>
      </w:pPr>
    </w:p>
    <w:p w14:paraId="4A9A52A9" w14:textId="170F7BA0" w:rsidR="00C10687" w:rsidRPr="00C10687" w:rsidRDefault="00C10687" w:rsidP="00A569BA">
      <w:pPr>
        <w:pStyle w:val="Heading1"/>
        <w:shd w:val="clear" w:color="auto" w:fill="FFFFFF"/>
        <w:spacing w:before="0" w:beforeAutospacing="0" w:after="0" w:afterAutospacing="0" w:line="240" w:lineRule="atLeast"/>
        <w:textAlignment w:val="baseline"/>
        <w:rPr>
          <w:rFonts w:ascii="Arial" w:hAnsi="Arial" w:cs="Arial"/>
          <w:b w:val="0"/>
          <w:bCs w:val="0"/>
          <w:sz w:val="24"/>
          <w:szCs w:val="24"/>
          <w:shd w:val="clear" w:color="auto" w:fill="FFFFFF"/>
        </w:rPr>
      </w:pPr>
      <w:r w:rsidRPr="00C10687">
        <w:rPr>
          <w:rFonts w:ascii="Arial" w:hAnsi="Arial" w:cs="Arial"/>
          <w:b w:val="0"/>
          <w:bCs w:val="0"/>
          <w:sz w:val="24"/>
          <w:szCs w:val="24"/>
          <w:shd w:val="clear" w:color="auto" w:fill="FFFFFF"/>
        </w:rPr>
        <w:t>Our Digital ACE Policy guidance materials aim to provide the ideas and prompts that providers need to consider when adapting their current policies or developing bespoke policies for their online and/or blended learning provision. Not all elements will be relevant to all services, so the materials provide a framework of ideas for providers to consider.</w:t>
      </w:r>
    </w:p>
    <w:p w14:paraId="48067819" w14:textId="77777777" w:rsidR="00C10687" w:rsidRDefault="00C10687" w:rsidP="00A569BA">
      <w:pPr>
        <w:pStyle w:val="Heading1"/>
        <w:shd w:val="clear" w:color="auto" w:fill="FFFFFF"/>
        <w:spacing w:before="0" w:beforeAutospacing="0" w:after="0" w:afterAutospacing="0" w:line="240" w:lineRule="atLeast"/>
        <w:textAlignment w:val="baseline"/>
        <w:rPr>
          <w:rFonts w:ascii="Arial" w:hAnsi="Arial" w:cs="Arial"/>
          <w:sz w:val="24"/>
          <w:szCs w:val="24"/>
        </w:rPr>
      </w:pPr>
    </w:p>
    <w:p w14:paraId="45528520" w14:textId="7AF9A2F8" w:rsidR="00A569BA" w:rsidRPr="003E7EC8" w:rsidRDefault="003E7EC8" w:rsidP="00187AC4">
      <w:pPr>
        <w:pStyle w:val="Referencelink"/>
      </w:pPr>
      <w:r w:rsidRPr="003E7EC8">
        <w:t>Policy Guidance document</w:t>
      </w:r>
    </w:p>
    <w:p w14:paraId="3FD68145" w14:textId="77777777" w:rsidR="003E7EC8" w:rsidRPr="003E7EC8" w:rsidRDefault="003E7EC8" w:rsidP="003E7EC8">
      <w:pPr>
        <w:pStyle w:val="NormalWeb"/>
        <w:numPr>
          <w:ilvl w:val="0"/>
          <w:numId w:val="3"/>
        </w:numPr>
        <w:shd w:val="clear" w:color="auto" w:fill="FFFFFF"/>
        <w:spacing w:before="0" w:beforeAutospacing="0" w:after="0" w:afterAutospacing="0"/>
        <w:textAlignment w:val="baseline"/>
        <w:rPr>
          <w:rFonts w:ascii="Arial" w:hAnsi="Arial" w:cs="Arial"/>
          <w:color w:val="666666"/>
        </w:rPr>
      </w:pPr>
      <w:r w:rsidRPr="003E7EC8">
        <w:rPr>
          <w:rFonts w:ascii="Arial" w:hAnsi="Arial" w:cs="Arial"/>
        </w:rPr>
        <w:t>Click to download our Digital ACE Policy guidance materials as a Word document </w:t>
      </w:r>
      <w:hyperlink r:id="rId11" w:history="1">
        <w:r w:rsidRPr="003E7EC8">
          <w:rPr>
            <w:rStyle w:val="Hyperlink"/>
            <w:rFonts w:ascii="Arial" w:hAnsi="Arial" w:cs="Arial"/>
            <w:color w:val="2EA3F2"/>
            <w:u w:val="none"/>
            <w:bdr w:val="none" w:sz="0" w:space="0" w:color="auto" w:frame="1"/>
          </w:rPr>
          <w:t>here</w:t>
        </w:r>
      </w:hyperlink>
      <w:r w:rsidRPr="003E7EC8">
        <w:rPr>
          <w:rFonts w:ascii="Arial" w:hAnsi="Arial" w:cs="Arial"/>
          <w:color w:val="666666"/>
        </w:rPr>
        <w:t>.</w:t>
      </w:r>
    </w:p>
    <w:p w14:paraId="2329FC73" w14:textId="77777777" w:rsidR="003E7EC8" w:rsidRPr="003E7EC8" w:rsidRDefault="003E7EC8" w:rsidP="003E7EC8">
      <w:pPr>
        <w:pStyle w:val="NormalWeb"/>
        <w:numPr>
          <w:ilvl w:val="0"/>
          <w:numId w:val="3"/>
        </w:numPr>
        <w:shd w:val="clear" w:color="auto" w:fill="FFFFFF"/>
        <w:spacing w:before="0" w:beforeAutospacing="0" w:after="0" w:afterAutospacing="0"/>
        <w:textAlignment w:val="baseline"/>
        <w:rPr>
          <w:rFonts w:ascii="Arial" w:hAnsi="Arial" w:cs="Arial"/>
          <w:color w:val="666666"/>
        </w:rPr>
      </w:pPr>
      <w:r w:rsidRPr="003E7EC8">
        <w:rPr>
          <w:rFonts w:ascii="Arial" w:hAnsi="Arial" w:cs="Arial"/>
        </w:rPr>
        <w:t>Alternatively, you can view a pdf version of the Policy Guidance Materials </w:t>
      </w:r>
      <w:hyperlink r:id="rId12" w:history="1">
        <w:r w:rsidRPr="003E7EC8">
          <w:rPr>
            <w:rStyle w:val="Hyperlink"/>
            <w:rFonts w:ascii="Arial" w:hAnsi="Arial" w:cs="Arial"/>
            <w:color w:val="2EA3F2"/>
            <w:u w:val="none"/>
            <w:bdr w:val="none" w:sz="0" w:space="0" w:color="auto" w:frame="1"/>
          </w:rPr>
          <w:t>here</w:t>
        </w:r>
      </w:hyperlink>
      <w:r w:rsidRPr="003E7EC8">
        <w:rPr>
          <w:rFonts w:ascii="Arial" w:hAnsi="Arial" w:cs="Arial"/>
          <w:color w:val="666666"/>
        </w:rPr>
        <w:t>.</w:t>
      </w:r>
      <w:r w:rsidRPr="003E7EC8">
        <w:rPr>
          <w:rFonts w:ascii="Arial" w:hAnsi="Arial" w:cs="Arial"/>
          <w:color w:val="666666"/>
          <w:bdr w:val="none" w:sz="0" w:space="0" w:color="auto" w:frame="1"/>
        </w:rPr>
        <w:t> </w:t>
      </w:r>
      <w:r w:rsidRPr="003E7EC8">
        <w:rPr>
          <w:rFonts w:ascii="Arial" w:hAnsi="Arial" w:cs="Arial"/>
          <w:bdr w:val="none" w:sz="0" w:space="0" w:color="auto" w:frame="1"/>
        </w:rPr>
        <w:t>Note that the hyperlinks won’t work in this pdf version.</w:t>
      </w:r>
    </w:p>
    <w:p w14:paraId="288F6747" w14:textId="77777777" w:rsidR="003E7EC8" w:rsidRPr="003E7EC8" w:rsidRDefault="003E7EC8" w:rsidP="00A569BA">
      <w:pPr>
        <w:pStyle w:val="Heading1"/>
        <w:shd w:val="clear" w:color="auto" w:fill="FFFFFF"/>
        <w:spacing w:before="0" w:beforeAutospacing="0" w:after="0" w:afterAutospacing="0" w:line="240" w:lineRule="atLeast"/>
        <w:textAlignment w:val="baseline"/>
        <w:rPr>
          <w:rFonts w:ascii="Arial" w:hAnsi="Arial" w:cs="Arial"/>
          <w:sz w:val="24"/>
          <w:szCs w:val="24"/>
        </w:rPr>
      </w:pPr>
    </w:p>
    <w:p w14:paraId="4B43B170" w14:textId="77777777" w:rsidR="00A569BA" w:rsidRPr="003E7EC8" w:rsidRDefault="00A569BA" w:rsidP="00187AC4">
      <w:pPr>
        <w:pStyle w:val="Referencelink"/>
      </w:pPr>
      <w:r w:rsidRPr="003E7EC8">
        <w:t>Annexes</w:t>
      </w:r>
    </w:p>
    <w:p w14:paraId="7EFAFD3C" w14:textId="4DEE957C" w:rsidR="00A569BA" w:rsidRDefault="00A569BA" w:rsidP="00A569BA">
      <w:pPr>
        <w:pStyle w:val="NormalWeb"/>
        <w:spacing w:before="0" w:beforeAutospacing="0" w:after="0" w:afterAutospacing="0"/>
        <w:textAlignment w:val="baseline"/>
        <w:rPr>
          <w:rFonts w:ascii="Arial" w:hAnsi="Arial" w:cs="Arial"/>
        </w:rPr>
      </w:pPr>
      <w:r w:rsidRPr="003E7EC8">
        <w:rPr>
          <w:rFonts w:ascii="Arial" w:hAnsi="Arial" w:cs="Arial"/>
        </w:rPr>
        <w:t>Click on the below links to download our customisable annexes. These are available for you to ‘adopt and adapt’. </w:t>
      </w:r>
    </w:p>
    <w:p w14:paraId="54E9A4B7" w14:textId="77777777" w:rsidR="003E7EC8" w:rsidRPr="003E7EC8" w:rsidRDefault="003E7EC8" w:rsidP="00A569BA">
      <w:pPr>
        <w:pStyle w:val="NormalWeb"/>
        <w:spacing w:before="0" w:beforeAutospacing="0" w:after="0" w:afterAutospacing="0"/>
        <w:textAlignment w:val="baseline"/>
        <w:rPr>
          <w:rFonts w:ascii="Arial" w:hAnsi="Arial" w:cs="Arial"/>
        </w:rPr>
      </w:pPr>
    </w:p>
    <w:p w14:paraId="7DD1E80B" w14:textId="77777777" w:rsidR="00A569BA" w:rsidRPr="003E7EC8" w:rsidRDefault="00A569BA" w:rsidP="003E7EC8">
      <w:pPr>
        <w:pStyle w:val="DANavybullet"/>
        <w:numPr>
          <w:ilvl w:val="0"/>
          <w:numId w:val="4"/>
        </w:numPr>
      </w:pPr>
      <w:r w:rsidRPr="003E7EC8">
        <w:t>Annex 1 – </w:t>
      </w:r>
      <w:hyperlink r:id="rId13" w:history="1">
        <w:r w:rsidRPr="003E7EC8">
          <w:rPr>
            <w:rStyle w:val="Hyperlink"/>
            <w:color w:val="2EA3F2"/>
            <w:bdr w:val="none" w:sz="0" w:space="0" w:color="auto" w:frame="1"/>
          </w:rPr>
          <w:t>Carrying out a need analysis</w:t>
        </w:r>
      </w:hyperlink>
    </w:p>
    <w:p w14:paraId="78BFFAEF" w14:textId="77777777" w:rsidR="00A569BA" w:rsidRPr="003E7EC8" w:rsidRDefault="00A569BA" w:rsidP="003E7EC8">
      <w:pPr>
        <w:pStyle w:val="DANavybullet"/>
        <w:numPr>
          <w:ilvl w:val="0"/>
          <w:numId w:val="4"/>
        </w:numPr>
      </w:pPr>
      <w:r w:rsidRPr="003E7EC8">
        <w:t>Annex 2 – </w:t>
      </w:r>
      <w:hyperlink r:id="rId14" w:history="1">
        <w:r w:rsidRPr="003E7EC8">
          <w:rPr>
            <w:rStyle w:val="Hyperlink"/>
            <w:color w:val="2EA3F2"/>
            <w:bdr w:val="none" w:sz="0" w:space="0" w:color="auto" w:frame="1"/>
          </w:rPr>
          <w:t>Checklist for implementing your digital policy</w:t>
        </w:r>
      </w:hyperlink>
    </w:p>
    <w:p w14:paraId="780A9649" w14:textId="77777777" w:rsidR="00A569BA" w:rsidRPr="003E7EC8" w:rsidRDefault="00A569BA" w:rsidP="003E7EC8">
      <w:pPr>
        <w:pStyle w:val="DANavybullet"/>
        <w:numPr>
          <w:ilvl w:val="0"/>
          <w:numId w:val="4"/>
        </w:numPr>
      </w:pPr>
      <w:r w:rsidRPr="003E7EC8">
        <w:t>Annex 3 – </w:t>
      </w:r>
      <w:hyperlink r:id="rId15" w:history="1">
        <w:r w:rsidRPr="003E7EC8">
          <w:rPr>
            <w:rStyle w:val="Hyperlink"/>
            <w:color w:val="2EA3F2"/>
            <w:bdr w:val="none" w:sz="0" w:space="0" w:color="auto" w:frame="1"/>
          </w:rPr>
          <w:t>Southend Adult Community College Digital Mission and Values</w:t>
        </w:r>
      </w:hyperlink>
    </w:p>
    <w:p w14:paraId="49346B46" w14:textId="77777777" w:rsidR="00A569BA" w:rsidRPr="003E7EC8" w:rsidRDefault="00A569BA" w:rsidP="003E7EC8">
      <w:pPr>
        <w:pStyle w:val="DANavybullet"/>
        <w:numPr>
          <w:ilvl w:val="0"/>
          <w:numId w:val="4"/>
        </w:numPr>
      </w:pPr>
      <w:r w:rsidRPr="003E7EC8">
        <w:t>Annex 4 – </w:t>
      </w:r>
      <w:hyperlink r:id="rId16" w:history="1">
        <w:r w:rsidRPr="003E7EC8">
          <w:rPr>
            <w:rStyle w:val="Hyperlink"/>
            <w:color w:val="2EA3F2"/>
            <w:bdr w:val="none" w:sz="0" w:space="0" w:color="auto" w:frame="1"/>
          </w:rPr>
          <w:t>Sutton College of Adult Education Digital Strategy 2020-2023</w:t>
        </w:r>
      </w:hyperlink>
    </w:p>
    <w:p w14:paraId="7B0446E6" w14:textId="77777777" w:rsidR="00A569BA" w:rsidRPr="003E7EC8" w:rsidRDefault="00A569BA" w:rsidP="003E7EC8">
      <w:pPr>
        <w:pStyle w:val="DANavybullet"/>
        <w:numPr>
          <w:ilvl w:val="0"/>
          <w:numId w:val="4"/>
        </w:numPr>
      </w:pPr>
      <w:r w:rsidRPr="003E7EC8">
        <w:t>Annex 5 – </w:t>
      </w:r>
      <w:hyperlink r:id="rId17" w:history="1">
        <w:r w:rsidRPr="003E7EC8">
          <w:rPr>
            <w:rStyle w:val="Hyperlink"/>
            <w:color w:val="2EA3F2"/>
            <w:bdr w:val="none" w:sz="0" w:space="0" w:color="auto" w:frame="1"/>
          </w:rPr>
          <w:t>Further examples of visions and policy goals for digital ACE</w:t>
        </w:r>
      </w:hyperlink>
    </w:p>
    <w:p w14:paraId="6E20EA07" w14:textId="77777777" w:rsidR="00A569BA" w:rsidRPr="003E7EC8" w:rsidRDefault="00A569BA" w:rsidP="003E7EC8">
      <w:pPr>
        <w:pStyle w:val="DANavybullet"/>
        <w:numPr>
          <w:ilvl w:val="0"/>
          <w:numId w:val="4"/>
        </w:numPr>
      </w:pPr>
      <w:r w:rsidRPr="003E7EC8">
        <w:t>Annex 6 – </w:t>
      </w:r>
      <w:hyperlink r:id="rId18" w:history="1">
        <w:r w:rsidRPr="003E7EC8">
          <w:rPr>
            <w:rStyle w:val="Hyperlink"/>
            <w:color w:val="2EA3F2"/>
            <w:bdr w:val="none" w:sz="0" w:space="0" w:color="auto" w:frame="1"/>
          </w:rPr>
          <w:t>Barnsley Adult &amp; Family Learning’s Acceptable Use Policy Agreement for internet &amp; email</w:t>
        </w:r>
      </w:hyperlink>
    </w:p>
    <w:p w14:paraId="7FBEEDC6" w14:textId="77777777" w:rsidR="00A569BA" w:rsidRPr="003E7EC8" w:rsidRDefault="00A569BA" w:rsidP="003E7EC8">
      <w:pPr>
        <w:pStyle w:val="DANavybullet"/>
        <w:numPr>
          <w:ilvl w:val="0"/>
          <w:numId w:val="4"/>
        </w:numPr>
      </w:pPr>
      <w:r w:rsidRPr="003E7EC8">
        <w:t>Annex 7 – </w:t>
      </w:r>
      <w:hyperlink r:id="rId19" w:history="1">
        <w:r w:rsidRPr="003E7EC8">
          <w:rPr>
            <w:rStyle w:val="Hyperlink"/>
            <w:color w:val="2EA3F2"/>
            <w:bdr w:val="none" w:sz="0" w:space="0" w:color="auto" w:frame="1"/>
          </w:rPr>
          <w:t>Thurrock Adult Community College’s Learner Digital Entitlement</w:t>
        </w:r>
      </w:hyperlink>
    </w:p>
    <w:p w14:paraId="5AB4C009" w14:textId="77777777" w:rsidR="00A569BA" w:rsidRPr="003E7EC8" w:rsidRDefault="00A569BA" w:rsidP="003E7EC8">
      <w:pPr>
        <w:pStyle w:val="DANavybullet"/>
        <w:numPr>
          <w:ilvl w:val="0"/>
          <w:numId w:val="4"/>
        </w:numPr>
      </w:pPr>
      <w:r w:rsidRPr="003E7EC8">
        <w:t>Annex 8 – </w:t>
      </w:r>
      <w:hyperlink r:id="rId20" w:history="1">
        <w:r w:rsidRPr="003E7EC8">
          <w:rPr>
            <w:rStyle w:val="Hyperlink"/>
            <w:color w:val="2EA3F2"/>
            <w:bdr w:val="none" w:sz="0" w:space="0" w:color="auto" w:frame="1"/>
          </w:rPr>
          <w:t>Southend Community College Video Conference Policy</w:t>
        </w:r>
      </w:hyperlink>
    </w:p>
    <w:p w14:paraId="633803E4" w14:textId="77777777" w:rsidR="00A569BA" w:rsidRPr="003E7EC8" w:rsidRDefault="00A569BA" w:rsidP="003E7EC8">
      <w:pPr>
        <w:pStyle w:val="DANavybullet"/>
        <w:numPr>
          <w:ilvl w:val="0"/>
          <w:numId w:val="4"/>
        </w:numPr>
      </w:pPr>
      <w:r w:rsidRPr="003E7EC8">
        <w:t>Annex 9 – </w:t>
      </w:r>
      <w:hyperlink r:id="rId21" w:history="1">
        <w:r w:rsidRPr="003E7EC8">
          <w:rPr>
            <w:rStyle w:val="Hyperlink"/>
            <w:color w:val="2EA3F2"/>
            <w:bdr w:val="none" w:sz="0" w:space="0" w:color="auto" w:frame="1"/>
          </w:rPr>
          <w:t>ACL Essex’s Remote Learning Policy – Policy implementation for ACL Learners</w:t>
        </w:r>
      </w:hyperlink>
    </w:p>
    <w:p w14:paraId="76FA2DDF" w14:textId="77777777" w:rsidR="00A569BA" w:rsidRPr="003E7EC8" w:rsidRDefault="00A569BA" w:rsidP="003E7EC8">
      <w:pPr>
        <w:pStyle w:val="DANavybullet"/>
        <w:numPr>
          <w:ilvl w:val="0"/>
          <w:numId w:val="4"/>
        </w:numPr>
      </w:pPr>
      <w:r w:rsidRPr="003E7EC8">
        <w:t>Annex 10 – </w:t>
      </w:r>
      <w:hyperlink r:id="rId22" w:history="1">
        <w:r w:rsidRPr="003E7EC8">
          <w:rPr>
            <w:rStyle w:val="Hyperlink"/>
            <w:color w:val="2EA3F2"/>
            <w:bdr w:val="none" w:sz="0" w:space="0" w:color="auto" w:frame="1"/>
          </w:rPr>
          <w:t>Southend Community College Guidance Note for staff on working from home</w:t>
        </w:r>
      </w:hyperlink>
    </w:p>
    <w:p w14:paraId="76BEC15D" w14:textId="77777777" w:rsidR="00A569BA" w:rsidRPr="003E7EC8" w:rsidRDefault="00A569BA" w:rsidP="003E7EC8">
      <w:pPr>
        <w:pStyle w:val="DANavybullet"/>
        <w:numPr>
          <w:ilvl w:val="0"/>
          <w:numId w:val="4"/>
        </w:numPr>
      </w:pPr>
      <w:r w:rsidRPr="003E7EC8">
        <w:t>Annex 11A – </w:t>
      </w:r>
      <w:hyperlink r:id="rId23" w:history="1">
        <w:r w:rsidRPr="003E7EC8">
          <w:rPr>
            <w:rStyle w:val="Hyperlink"/>
            <w:color w:val="2EA3F2"/>
            <w:bdr w:val="none" w:sz="0" w:space="0" w:color="auto" w:frame="1"/>
          </w:rPr>
          <w:t>ACL Essex Remote Learning Policy – Policy implementation for ACL staff</w:t>
        </w:r>
      </w:hyperlink>
    </w:p>
    <w:p w14:paraId="0F0D08A5" w14:textId="77777777" w:rsidR="00A569BA" w:rsidRPr="003E7EC8" w:rsidRDefault="00A569BA" w:rsidP="003E7EC8">
      <w:pPr>
        <w:pStyle w:val="DANavybullet"/>
        <w:numPr>
          <w:ilvl w:val="0"/>
          <w:numId w:val="4"/>
        </w:numPr>
      </w:pPr>
      <w:r w:rsidRPr="003E7EC8">
        <w:t>Annex 11B – </w:t>
      </w:r>
      <w:hyperlink r:id="rId24" w:history="1">
        <w:r w:rsidRPr="003E7EC8">
          <w:rPr>
            <w:rStyle w:val="Hyperlink"/>
            <w:color w:val="2EA3F2"/>
            <w:bdr w:val="none" w:sz="0" w:space="0" w:color="auto" w:frame="1"/>
          </w:rPr>
          <w:t>ACL Essex’s Remote Learning Policy (in full)</w:t>
        </w:r>
      </w:hyperlink>
    </w:p>
    <w:p w14:paraId="02115F29" w14:textId="77777777" w:rsidR="00A569BA" w:rsidRPr="003E7EC8" w:rsidRDefault="00A569BA" w:rsidP="003E7EC8">
      <w:pPr>
        <w:pStyle w:val="DANavybullet"/>
        <w:numPr>
          <w:ilvl w:val="0"/>
          <w:numId w:val="4"/>
        </w:numPr>
      </w:pPr>
      <w:r w:rsidRPr="003E7EC8">
        <w:t>Annex 12 – </w:t>
      </w:r>
      <w:hyperlink r:id="rId25" w:history="1">
        <w:r w:rsidRPr="003E7EC8">
          <w:rPr>
            <w:rStyle w:val="Hyperlink"/>
            <w:color w:val="2EA3F2"/>
            <w:bdr w:val="none" w:sz="0" w:space="0" w:color="auto" w:frame="1"/>
          </w:rPr>
          <w:t>Southend Adult Community College Safeguarding Policy Addendum</w:t>
        </w:r>
      </w:hyperlink>
    </w:p>
    <w:p w14:paraId="6D073F55" w14:textId="4A159631" w:rsidR="00A569BA" w:rsidRPr="003E7EC8" w:rsidRDefault="00A569BA" w:rsidP="003E7EC8">
      <w:pPr>
        <w:pStyle w:val="DANavybullet"/>
        <w:numPr>
          <w:ilvl w:val="0"/>
          <w:numId w:val="0"/>
        </w:numPr>
        <w:ind w:left="426"/>
      </w:pPr>
    </w:p>
    <w:p w14:paraId="392FA873" w14:textId="745E04AA" w:rsidR="00A569BA" w:rsidRPr="003E7EC8" w:rsidRDefault="00A569BA" w:rsidP="00A569BA">
      <w:pPr>
        <w:pStyle w:val="Heading1"/>
        <w:shd w:val="clear" w:color="auto" w:fill="FFFFFF"/>
        <w:spacing w:before="0" w:beforeAutospacing="0" w:after="0" w:afterAutospacing="0" w:line="240" w:lineRule="atLeast"/>
        <w:textAlignment w:val="baseline"/>
        <w:rPr>
          <w:rFonts w:ascii="Arial" w:hAnsi="Arial" w:cs="Arial"/>
          <w:sz w:val="24"/>
          <w:szCs w:val="24"/>
        </w:rPr>
      </w:pPr>
    </w:p>
    <w:p w14:paraId="55E5D323" w14:textId="77777777" w:rsidR="00A569BA" w:rsidRPr="003E7EC8" w:rsidRDefault="00A569BA" w:rsidP="00A569BA">
      <w:pPr>
        <w:pStyle w:val="Heading1"/>
        <w:shd w:val="clear" w:color="auto" w:fill="FFFFFF"/>
        <w:spacing w:before="0" w:beforeAutospacing="0" w:after="0" w:afterAutospacing="0" w:line="240" w:lineRule="atLeast"/>
        <w:textAlignment w:val="baseline"/>
        <w:rPr>
          <w:rFonts w:ascii="Arial" w:hAnsi="Arial" w:cs="Arial"/>
          <w:sz w:val="24"/>
          <w:szCs w:val="24"/>
        </w:rPr>
      </w:pPr>
    </w:p>
    <w:p w14:paraId="5C1F456F" w14:textId="77777777" w:rsidR="00501274" w:rsidRDefault="00501274">
      <w:pPr>
        <w:rPr>
          <w:rFonts w:ascii="Arial" w:hAnsi="Arial" w:cs="Arial"/>
          <w:b/>
          <w:bCs/>
          <w:color w:val="2A2853"/>
          <w:sz w:val="28"/>
          <w:szCs w:val="28"/>
        </w:rPr>
      </w:pPr>
      <w:r>
        <w:br w:type="page"/>
      </w:r>
    </w:p>
    <w:p w14:paraId="5926D382" w14:textId="1C6EA792" w:rsidR="00A569BA" w:rsidRPr="00501274" w:rsidRDefault="00A569BA" w:rsidP="00501274">
      <w:pPr>
        <w:pStyle w:val="DigitalACEheading"/>
      </w:pPr>
      <w:hyperlink r:id="rId26" w:history="1">
        <w:r w:rsidRPr="00501274">
          <w:rPr>
            <w:rStyle w:val="Hyperlink"/>
            <w:color w:val="2A2853"/>
            <w:u w:val="none"/>
          </w:rPr>
          <w:t>Safeguarding and Prevent</w:t>
        </w:r>
      </w:hyperlink>
      <w:r w:rsidRPr="00501274">
        <w:t xml:space="preserve"> Guidance Materials</w:t>
      </w:r>
    </w:p>
    <w:p w14:paraId="5A6F55AC" w14:textId="339C9247" w:rsidR="00A569BA" w:rsidRPr="00C10687" w:rsidRDefault="00501274">
      <w:pPr>
        <w:rPr>
          <w:rFonts w:ascii="Arial" w:hAnsi="Arial" w:cs="Arial"/>
          <w:b/>
          <w:bCs/>
          <w:sz w:val="24"/>
          <w:szCs w:val="24"/>
        </w:rPr>
      </w:pPr>
      <w:r w:rsidRPr="00187AC4">
        <w:rPr>
          <w:rStyle w:val="ReferencelinkChar"/>
        </w:rPr>
        <w:t>Safeguarding and Prevent resources</w:t>
      </w:r>
      <w:r w:rsidRPr="00C10687">
        <w:rPr>
          <w:rFonts w:ascii="Arial" w:hAnsi="Arial" w:cs="Arial"/>
          <w:b/>
          <w:bCs/>
          <w:sz w:val="24"/>
          <w:szCs w:val="24"/>
        </w:rPr>
        <w:t xml:space="preserve"> </w:t>
      </w:r>
      <w:hyperlink r:id="rId27" w:history="1">
        <w:r w:rsidRPr="000E4A9A">
          <w:rPr>
            <w:rStyle w:val="Hyperlink"/>
            <w:rFonts w:ascii="Arial" w:eastAsia="Times New Roman" w:hAnsi="Arial" w:cs="Arial"/>
            <w:color w:val="2EA3F2"/>
            <w:sz w:val="24"/>
            <w:szCs w:val="24"/>
            <w:bdr w:val="none" w:sz="0" w:space="0" w:color="auto" w:frame="1"/>
            <w:lang w:eastAsia="en-GB"/>
          </w:rPr>
          <w:t>page</w:t>
        </w:r>
      </w:hyperlink>
    </w:p>
    <w:p w14:paraId="791CA2C6" w14:textId="7A7981E2" w:rsidR="00C10687" w:rsidRDefault="00C10687" w:rsidP="00C10687">
      <w:pPr>
        <w:pStyle w:val="NormalWeb"/>
        <w:shd w:val="clear" w:color="auto" w:fill="FFFFFF"/>
        <w:spacing w:before="0" w:beforeAutospacing="0" w:after="0" w:afterAutospacing="0"/>
        <w:textAlignment w:val="baseline"/>
        <w:rPr>
          <w:rFonts w:ascii="Arial" w:hAnsi="Arial" w:cs="Arial"/>
        </w:rPr>
      </w:pPr>
      <w:r w:rsidRPr="00C10687">
        <w:rPr>
          <w:rFonts w:ascii="Arial" w:hAnsi="Arial" w:cs="Arial"/>
        </w:rPr>
        <w:t>Our Digital ACE Safeguarding and Prevent guidance materials aim to supply providers with enough information to review and adapt their approach to safeguarding and Prevent to ensure that they are keeping learners, staff, partners and visitors safe in an online model.</w:t>
      </w:r>
    </w:p>
    <w:p w14:paraId="2278AFB1" w14:textId="77777777" w:rsidR="00C10687" w:rsidRPr="00C10687" w:rsidRDefault="00C10687" w:rsidP="00C10687">
      <w:pPr>
        <w:pStyle w:val="NormalWeb"/>
        <w:shd w:val="clear" w:color="auto" w:fill="FFFFFF"/>
        <w:spacing w:before="0" w:beforeAutospacing="0" w:after="0" w:afterAutospacing="0"/>
        <w:textAlignment w:val="baseline"/>
        <w:rPr>
          <w:rFonts w:ascii="Arial" w:hAnsi="Arial" w:cs="Arial"/>
        </w:rPr>
      </w:pPr>
    </w:p>
    <w:p w14:paraId="5A9D8F0C" w14:textId="0AF8E50F" w:rsidR="00C10687" w:rsidRDefault="00C10687" w:rsidP="00C10687">
      <w:pPr>
        <w:pStyle w:val="NormalWeb"/>
        <w:shd w:val="clear" w:color="auto" w:fill="FFFFFF"/>
        <w:spacing w:before="0" w:beforeAutospacing="0" w:after="0" w:afterAutospacing="0"/>
        <w:textAlignment w:val="baseline"/>
        <w:rPr>
          <w:rFonts w:ascii="Arial" w:hAnsi="Arial" w:cs="Arial"/>
        </w:rPr>
      </w:pPr>
      <w:r w:rsidRPr="00C10687">
        <w:rPr>
          <w:rFonts w:ascii="Arial" w:hAnsi="Arial" w:cs="Arial"/>
        </w:rPr>
        <w:t>This guidance also provides links to examples of good practice and more in-depth analysis of approaches to safeguarding and Prevent relevant to online delivery.</w:t>
      </w:r>
    </w:p>
    <w:p w14:paraId="09781611" w14:textId="77777777" w:rsidR="00C10687" w:rsidRPr="00C10687" w:rsidRDefault="00C10687" w:rsidP="00C10687">
      <w:pPr>
        <w:pStyle w:val="NormalWeb"/>
        <w:shd w:val="clear" w:color="auto" w:fill="FFFFFF"/>
        <w:spacing w:before="0" w:beforeAutospacing="0" w:after="0" w:afterAutospacing="0"/>
        <w:textAlignment w:val="baseline"/>
        <w:rPr>
          <w:rFonts w:ascii="Arial" w:hAnsi="Arial" w:cs="Arial"/>
        </w:rPr>
      </w:pPr>
    </w:p>
    <w:p w14:paraId="6985A8C8" w14:textId="77777777" w:rsidR="00C10687" w:rsidRPr="00C10687" w:rsidRDefault="00C10687" w:rsidP="00C10687">
      <w:pPr>
        <w:pStyle w:val="NormalWeb"/>
        <w:shd w:val="clear" w:color="auto" w:fill="FFFFFF"/>
        <w:spacing w:before="0" w:beforeAutospacing="0" w:after="0" w:afterAutospacing="0"/>
        <w:textAlignment w:val="baseline"/>
        <w:rPr>
          <w:rFonts w:ascii="Arial" w:hAnsi="Arial" w:cs="Arial"/>
        </w:rPr>
      </w:pPr>
      <w:r w:rsidRPr="00C10687">
        <w:rPr>
          <w:rFonts w:ascii="Arial" w:hAnsi="Arial" w:cs="Arial"/>
        </w:rPr>
        <w:t>The guidance assumes that all practitioners already have robust policies and processes around safeguarding and Prevent, and it builds on the existing good practice in organisations.</w:t>
      </w:r>
    </w:p>
    <w:p w14:paraId="637D017C" w14:textId="77777777" w:rsidR="00C10687" w:rsidRPr="00C10687" w:rsidRDefault="00C10687" w:rsidP="00501274">
      <w:pPr>
        <w:pStyle w:val="NormalWeb"/>
        <w:shd w:val="clear" w:color="auto" w:fill="FFFFFF"/>
        <w:spacing w:before="0" w:beforeAutospacing="0" w:after="0" w:afterAutospacing="0"/>
        <w:textAlignment w:val="baseline"/>
        <w:rPr>
          <w:rFonts w:ascii="Arial" w:hAnsi="Arial" w:cs="Arial"/>
          <w:b/>
          <w:bCs/>
        </w:rPr>
      </w:pPr>
    </w:p>
    <w:p w14:paraId="3FAE6C98" w14:textId="4DAECD16" w:rsidR="00C10687" w:rsidRPr="00C10687" w:rsidRDefault="00C10687" w:rsidP="00187AC4">
      <w:pPr>
        <w:pStyle w:val="Referencelink"/>
      </w:pPr>
      <w:r w:rsidRPr="00C10687">
        <w:t>Safeguarding and Prevent Guidance Document</w:t>
      </w:r>
    </w:p>
    <w:p w14:paraId="7BD89CD2" w14:textId="3EA449C2" w:rsidR="00501274" w:rsidRPr="00C10687" w:rsidRDefault="00501274" w:rsidP="00C10687">
      <w:pPr>
        <w:pStyle w:val="NormalWeb"/>
        <w:numPr>
          <w:ilvl w:val="0"/>
          <w:numId w:val="6"/>
        </w:numPr>
        <w:shd w:val="clear" w:color="auto" w:fill="FFFFFF"/>
        <w:spacing w:before="0" w:beforeAutospacing="0" w:after="0" w:afterAutospacing="0"/>
        <w:textAlignment w:val="baseline"/>
        <w:rPr>
          <w:rFonts w:ascii="Arial" w:hAnsi="Arial" w:cs="Arial"/>
          <w:color w:val="666666"/>
        </w:rPr>
      </w:pPr>
      <w:r w:rsidRPr="00C10687">
        <w:rPr>
          <w:rFonts w:ascii="Arial" w:hAnsi="Arial" w:cs="Arial"/>
        </w:rPr>
        <w:t>Click to download our Digital ACE Safeguarding and Prevent guidance materials as a Word document </w:t>
      </w:r>
      <w:hyperlink r:id="rId28" w:history="1">
        <w:r w:rsidRPr="00C10687">
          <w:rPr>
            <w:rStyle w:val="Hyperlink"/>
            <w:rFonts w:ascii="Arial" w:hAnsi="Arial" w:cs="Arial"/>
            <w:color w:val="2EA3F2"/>
            <w:u w:val="none"/>
            <w:bdr w:val="none" w:sz="0" w:space="0" w:color="auto" w:frame="1"/>
          </w:rPr>
          <w:t>here</w:t>
        </w:r>
      </w:hyperlink>
      <w:r w:rsidRPr="00C10687">
        <w:rPr>
          <w:rFonts w:ascii="Arial" w:hAnsi="Arial" w:cs="Arial"/>
          <w:color w:val="666666"/>
        </w:rPr>
        <w:t>.</w:t>
      </w:r>
    </w:p>
    <w:p w14:paraId="40051090" w14:textId="77777777" w:rsidR="00501274" w:rsidRPr="00C10687" w:rsidRDefault="00501274" w:rsidP="00C10687">
      <w:pPr>
        <w:pStyle w:val="NormalWeb"/>
        <w:numPr>
          <w:ilvl w:val="0"/>
          <w:numId w:val="6"/>
        </w:numPr>
        <w:shd w:val="clear" w:color="auto" w:fill="FFFFFF"/>
        <w:spacing w:before="0" w:beforeAutospacing="0" w:after="0" w:afterAutospacing="0"/>
        <w:textAlignment w:val="baseline"/>
        <w:rPr>
          <w:rFonts w:ascii="Arial" w:hAnsi="Arial" w:cs="Arial"/>
        </w:rPr>
      </w:pPr>
      <w:r w:rsidRPr="00C10687">
        <w:rPr>
          <w:rFonts w:ascii="Arial" w:hAnsi="Arial" w:cs="Arial"/>
        </w:rPr>
        <w:t>Alternatively, you can view a pdf version of the Safeguarding and Prevent Guidance Materials </w:t>
      </w:r>
      <w:hyperlink r:id="rId29" w:history="1">
        <w:r w:rsidRPr="00C10687">
          <w:rPr>
            <w:rStyle w:val="Hyperlink"/>
            <w:rFonts w:ascii="Arial" w:hAnsi="Arial" w:cs="Arial"/>
            <w:color w:val="2EA3F2"/>
            <w:u w:val="none"/>
            <w:bdr w:val="none" w:sz="0" w:space="0" w:color="auto" w:frame="1"/>
          </w:rPr>
          <w:t>here</w:t>
        </w:r>
      </w:hyperlink>
      <w:r w:rsidRPr="00C10687">
        <w:rPr>
          <w:rFonts w:ascii="Arial" w:hAnsi="Arial" w:cs="Arial"/>
          <w:color w:val="666666"/>
        </w:rPr>
        <w:t>.</w:t>
      </w:r>
      <w:r w:rsidRPr="00C10687">
        <w:rPr>
          <w:rFonts w:ascii="Arial" w:hAnsi="Arial" w:cs="Arial"/>
          <w:color w:val="666666"/>
          <w:bdr w:val="none" w:sz="0" w:space="0" w:color="auto" w:frame="1"/>
        </w:rPr>
        <w:t> </w:t>
      </w:r>
      <w:r w:rsidRPr="00C10687">
        <w:rPr>
          <w:rFonts w:ascii="Arial" w:hAnsi="Arial" w:cs="Arial"/>
          <w:bdr w:val="none" w:sz="0" w:space="0" w:color="auto" w:frame="1"/>
        </w:rPr>
        <w:t>Note that the hyperlinks won’t work in this pdf version.</w:t>
      </w:r>
    </w:p>
    <w:p w14:paraId="06754E3A" w14:textId="77777777" w:rsidR="00501274" w:rsidRDefault="00501274"/>
    <w:p w14:paraId="7E8F1B29" w14:textId="77777777" w:rsidR="00501274" w:rsidRPr="003E7EC8" w:rsidRDefault="00501274" w:rsidP="00187AC4">
      <w:pPr>
        <w:pStyle w:val="Referencelink"/>
      </w:pPr>
      <w:r w:rsidRPr="003E7EC8">
        <w:t>Annexes</w:t>
      </w:r>
    </w:p>
    <w:p w14:paraId="5311FCCA" w14:textId="77777777" w:rsidR="00501274" w:rsidRDefault="00501274" w:rsidP="00501274">
      <w:pPr>
        <w:pStyle w:val="NormalWeb"/>
        <w:spacing w:before="0" w:beforeAutospacing="0" w:after="0" w:afterAutospacing="0"/>
        <w:textAlignment w:val="baseline"/>
        <w:rPr>
          <w:rFonts w:ascii="Arial" w:hAnsi="Arial" w:cs="Arial"/>
        </w:rPr>
      </w:pPr>
      <w:r w:rsidRPr="003E7EC8">
        <w:rPr>
          <w:rFonts w:ascii="Arial" w:hAnsi="Arial" w:cs="Arial"/>
        </w:rPr>
        <w:t>Click on the below links to download our customisable annexes. These are available for you to ‘adopt and adapt’. </w:t>
      </w:r>
    </w:p>
    <w:p w14:paraId="6C75E0FC" w14:textId="77777777" w:rsidR="00A569BA" w:rsidRPr="00501274" w:rsidRDefault="00A569BA" w:rsidP="00C10687">
      <w:pPr>
        <w:pStyle w:val="DANavybullet"/>
        <w:numPr>
          <w:ilvl w:val="0"/>
          <w:numId w:val="7"/>
        </w:numPr>
      </w:pPr>
      <w:r w:rsidRPr="00501274">
        <w:t>Annex 1 – </w:t>
      </w:r>
      <w:hyperlink r:id="rId30" w:history="1">
        <w:r w:rsidRPr="00501274">
          <w:rPr>
            <w:rStyle w:val="Hyperlink"/>
            <w:color w:val="2EA3F2"/>
            <w:bdr w:val="none" w:sz="0" w:space="0" w:color="auto" w:frame="1"/>
          </w:rPr>
          <w:t>Online Safeguarding Review (Audit)</w:t>
        </w:r>
      </w:hyperlink>
    </w:p>
    <w:p w14:paraId="014519F0" w14:textId="77777777" w:rsidR="00A569BA" w:rsidRPr="00501274" w:rsidRDefault="00A569BA" w:rsidP="00C10687">
      <w:pPr>
        <w:pStyle w:val="DANavybullet"/>
        <w:numPr>
          <w:ilvl w:val="0"/>
          <w:numId w:val="7"/>
        </w:numPr>
      </w:pPr>
      <w:r w:rsidRPr="00501274">
        <w:t>Annex 2 – </w:t>
      </w:r>
      <w:hyperlink r:id="rId31" w:history="1">
        <w:r w:rsidRPr="00501274">
          <w:rPr>
            <w:rStyle w:val="Hyperlink"/>
            <w:color w:val="2EA3F2"/>
            <w:bdr w:val="none" w:sz="0" w:space="0" w:color="auto" w:frame="1"/>
          </w:rPr>
          <w:t>Southend Adult Community College’s Safeguarding Policy Addendum</w:t>
        </w:r>
      </w:hyperlink>
    </w:p>
    <w:p w14:paraId="5300BF5D" w14:textId="77777777" w:rsidR="00A569BA" w:rsidRPr="00501274" w:rsidRDefault="00A569BA" w:rsidP="00C10687">
      <w:pPr>
        <w:pStyle w:val="DANavybullet"/>
        <w:numPr>
          <w:ilvl w:val="0"/>
          <w:numId w:val="7"/>
        </w:numPr>
      </w:pPr>
      <w:r w:rsidRPr="00501274">
        <w:t>Annex 3 – </w:t>
      </w:r>
      <w:hyperlink r:id="rId32" w:history="1">
        <w:r w:rsidRPr="00501274">
          <w:rPr>
            <w:rStyle w:val="Hyperlink"/>
            <w:color w:val="2EA3F2"/>
            <w:bdr w:val="none" w:sz="0" w:space="0" w:color="auto" w:frame="1"/>
          </w:rPr>
          <w:t>ACL Essex’s Prevent and Safeguarding Strategy Risk Assessment</w:t>
        </w:r>
      </w:hyperlink>
    </w:p>
    <w:p w14:paraId="5EBA2EF2" w14:textId="77777777" w:rsidR="00A569BA" w:rsidRPr="00501274" w:rsidRDefault="00A569BA" w:rsidP="00C10687">
      <w:pPr>
        <w:pStyle w:val="DANavybullet"/>
        <w:numPr>
          <w:ilvl w:val="0"/>
          <w:numId w:val="7"/>
        </w:numPr>
      </w:pPr>
      <w:r w:rsidRPr="00501274">
        <w:t>Annex 4 – </w:t>
      </w:r>
      <w:hyperlink r:id="rId33" w:history="1">
        <w:r w:rsidRPr="00501274">
          <w:rPr>
            <w:rStyle w:val="Hyperlink"/>
            <w:color w:val="2EA3F2"/>
            <w:bdr w:val="none" w:sz="0" w:space="0" w:color="auto" w:frame="1"/>
          </w:rPr>
          <w:t xml:space="preserve">Gateshead </w:t>
        </w:r>
        <w:proofErr w:type="spellStart"/>
        <w:r w:rsidRPr="00501274">
          <w:rPr>
            <w:rStyle w:val="Hyperlink"/>
            <w:color w:val="2EA3F2"/>
            <w:bdr w:val="none" w:sz="0" w:space="0" w:color="auto" w:frame="1"/>
          </w:rPr>
          <w:t>LearningSkills’s</w:t>
        </w:r>
        <w:proofErr w:type="spellEnd"/>
        <w:r w:rsidRPr="00501274">
          <w:rPr>
            <w:rStyle w:val="Hyperlink"/>
            <w:color w:val="2EA3F2"/>
            <w:bdr w:val="none" w:sz="0" w:space="0" w:color="auto" w:frame="1"/>
          </w:rPr>
          <w:t xml:space="preserve"> Home Working Policy</w:t>
        </w:r>
      </w:hyperlink>
    </w:p>
    <w:p w14:paraId="27A7EF41" w14:textId="77777777" w:rsidR="00A569BA" w:rsidRPr="00501274" w:rsidRDefault="00A569BA" w:rsidP="00C10687">
      <w:pPr>
        <w:pStyle w:val="DANavybullet"/>
        <w:numPr>
          <w:ilvl w:val="0"/>
          <w:numId w:val="7"/>
        </w:numPr>
      </w:pPr>
      <w:r w:rsidRPr="00501274">
        <w:t>Annex 5 – </w:t>
      </w:r>
      <w:hyperlink r:id="rId34" w:history="1">
        <w:r w:rsidRPr="00501274">
          <w:rPr>
            <w:rStyle w:val="Hyperlink"/>
            <w:color w:val="2EA3F2"/>
            <w:bdr w:val="none" w:sz="0" w:space="0" w:color="auto" w:frame="1"/>
          </w:rPr>
          <w:t>Gateshead Council’s Home working Guidance</w:t>
        </w:r>
      </w:hyperlink>
    </w:p>
    <w:p w14:paraId="70925552" w14:textId="77777777" w:rsidR="00A569BA" w:rsidRPr="00501274" w:rsidRDefault="00A569BA" w:rsidP="00C10687">
      <w:pPr>
        <w:pStyle w:val="DANavybullet"/>
        <w:numPr>
          <w:ilvl w:val="0"/>
          <w:numId w:val="7"/>
        </w:numPr>
      </w:pPr>
      <w:r w:rsidRPr="00501274">
        <w:t>Annex 6 – </w:t>
      </w:r>
      <w:hyperlink r:id="rId35" w:history="1">
        <w:r w:rsidRPr="00501274">
          <w:rPr>
            <w:rStyle w:val="Hyperlink"/>
            <w:color w:val="2EA3F2"/>
            <w:bdr w:val="none" w:sz="0" w:space="0" w:color="auto" w:frame="1"/>
          </w:rPr>
          <w:t>Southend’s FAQ’s – from virtual Safeguarding surgery</w:t>
        </w:r>
      </w:hyperlink>
    </w:p>
    <w:p w14:paraId="38E01A48" w14:textId="77777777" w:rsidR="00A569BA" w:rsidRPr="00501274" w:rsidRDefault="00A569BA" w:rsidP="00C10687">
      <w:pPr>
        <w:pStyle w:val="DANavybullet"/>
        <w:numPr>
          <w:ilvl w:val="0"/>
          <w:numId w:val="7"/>
        </w:numPr>
      </w:pPr>
      <w:r w:rsidRPr="00501274">
        <w:t>Annex 7 – </w:t>
      </w:r>
      <w:hyperlink r:id="rId36" w:history="1">
        <w:r w:rsidRPr="00501274">
          <w:rPr>
            <w:rStyle w:val="Hyperlink"/>
            <w:color w:val="2EA3F2"/>
            <w:bdr w:val="none" w:sz="0" w:space="0" w:color="auto" w:frame="1"/>
          </w:rPr>
          <w:t>Southend’s Safeguarding tips – Staying safe online – avoiding Fraud</w:t>
        </w:r>
      </w:hyperlink>
    </w:p>
    <w:p w14:paraId="085D20CA" w14:textId="77777777" w:rsidR="00A569BA" w:rsidRPr="00501274" w:rsidRDefault="00A569BA" w:rsidP="00C10687">
      <w:pPr>
        <w:pStyle w:val="DANavybullet"/>
        <w:numPr>
          <w:ilvl w:val="0"/>
          <w:numId w:val="7"/>
        </w:numPr>
      </w:pPr>
      <w:r w:rsidRPr="00501274">
        <w:t>Annex 8 – </w:t>
      </w:r>
      <w:hyperlink r:id="rId37" w:history="1">
        <w:r w:rsidRPr="00501274">
          <w:rPr>
            <w:rStyle w:val="Hyperlink"/>
            <w:color w:val="2EA3F2"/>
            <w:bdr w:val="none" w:sz="0" w:space="0" w:color="auto" w:frame="1"/>
          </w:rPr>
          <w:t>ACL Essex’s Keeping Safe Newsletter no 2         </w:t>
        </w:r>
      </w:hyperlink>
    </w:p>
    <w:p w14:paraId="77BF96AF" w14:textId="77777777" w:rsidR="00A569BA" w:rsidRPr="00501274" w:rsidRDefault="00A569BA" w:rsidP="00C10687">
      <w:pPr>
        <w:pStyle w:val="DANavybullet"/>
        <w:numPr>
          <w:ilvl w:val="0"/>
          <w:numId w:val="7"/>
        </w:numPr>
      </w:pPr>
      <w:r w:rsidRPr="00501274">
        <w:t>Annex 9 – </w:t>
      </w:r>
      <w:hyperlink r:id="rId38" w:history="1">
        <w:r w:rsidRPr="00501274">
          <w:rPr>
            <w:rStyle w:val="Hyperlink"/>
            <w:color w:val="2EA3F2"/>
            <w:bdr w:val="none" w:sz="0" w:space="0" w:color="auto" w:frame="1"/>
          </w:rPr>
          <w:t>Stockport Adult Learning’s Knowledge Organiser for learners</w:t>
        </w:r>
      </w:hyperlink>
    </w:p>
    <w:p w14:paraId="0C04A559" w14:textId="77777777" w:rsidR="00A569BA" w:rsidRPr="00501274" w:rsidRDefault="00A569BA" w:rsidP="00C10687">
      <w:pPr>
        <w:pStyle w:val="DANavybullet"/>
        <w:numPr>
          <w:ilvl w:val="0"/>
          <w:numId w:val="7"/>
        </w:numPr>
      </w:pPr>
      <w:r w:rsidRPr="00501274">
        <w:t>Annex 10 – </w:t>
      </w:r>
      <w:hyperlink r:id="rId39" w:history="1">
        <w:r w:rsidRPr="00501274">
          <w:rPr>
            <w:rStyle w:val="Hyperlink"/>
            <w:color w:val="2EA3F2"/>
            <w:bdr w:val="none" w:sz="0" w:space="0" w:color="auto" w:frame="1"/>
          </w:rPr>
          <w:t>Thurrock Adult Community Learning’s Staff blog – staying sane and healthy working online</w:t>
        </w:r>
      </w:hyperlink>
    </w:p>
    <w:p w14:paraId="2947FEDB" w14:textId="77777777" w:rsidR="00A569BA" w:rsidRPr="00501274" w:rsidRDefault="00A569BA" w:rsidP="00C10687">
      <w:pPr>
        <w:pStyle w:val="DANavybullet"/>
        <w:numPr>
          <w:ilvl w:val="0"/>
          <w:numId w:val="7"/>
        </w:numPr>
      </w:pPr>
      <w:r w:rsidRPr="00501274">
        <w:t>Annex 11 – </w:t>
      </w:r>
      <w:hyperlink r:id="rId40" w:history="1">
        <w:r w:rsidRPr="00501274">
          <w:rPr>
            <w:rStyle w:val="Hyperlink"/>
            <w:color w:val="2EA3F2"/>
            <w:bdr w:val="none" w:sz="0" w:space="0" w:color="auto" w:frame="1"/>
          </w:rPr>
          <w:t>ACL Essex’s Online links for mental health support</w:t>
        </w:r>
      </w:hyperlink>
    </w:p>
    <w:p w14:paraId="4A08E1E3" w14:textId="77777777" w:rsidR="00A569BA" w:rsidRPr="00501274" w:rsidRDefault="00A569BA" w:rsidP="00C10687">
      <w:pPr>
        <w:pStyle w:val="DANavybullet"/>
        <w:numPr>
          <w:ilvl w:val="0"/>
          <w:numId w:val="7"/>
        </w:numPr>
      </w:pPr>
      <w:r w:rsidRPr="00501274">
        <w:t>Annex 12 – </w:t>
      </w:r>
      <w:hyperlink r:id="rId41" w:history="1">
        <w:r w:rsidRPr="00501274">
          <w:rPr>
            <w:rStyle w:val="Hyperlink"/>
            <w:color w:val="2EA3F2"/>
            <w:bdr w:val="none" w:sz="0" w:space="0" w:color="auto" w:frame="1"/>
          </w:rPr>
          <w:t>ACL Essex’s Netiquette Guide for Online Courses</w:t>
        </w:r>
      </w:hyperlink>
    </w:p>
    <w:p w14:paraId="2910C31A" w14:textId="031992B1" w:rsidR="00A569BA" w:rsidRPr="00501274" w:rsidRDefault="00A569BA">
      <w:pPr>
        <w:rPr>
          <w:sz w:val="24"/>
          <w:szCs w:val="24"/>
        </w:rPr>
      </w:pPr>
    </w:p>
    <w:p w14:paraId="071D4667" w14:textId="09229672" w:rsidR="00A569BA" w:rsidRPr="00501274" w:rsidRDefault="00A569BA">
      <w:pPr>
        <w:rPr>
          <w:sz w:val="24"/>
          <w:szCs w:val="24"/>
        </w:rPr>
      </w:pPr>
    </w:p>
    <w:p w14:paraId="0EF2404A" w14:textId="7E9919E5" w:rsidR="00A569BA" w:rsidRDefault="00A569BA"/>
    <w:p w14:paraId="0612F3E4" w14:textId="794FCC3B" w:rsidR="00A569BA" w:rsidRPr="00C10687" w:rsidRDefault="00A569BA" w:rsidP="00C10687">
      <w:pPr>
        <w:pStyle w:val="DigitalACEheading"/>
      </w:pPr>
      <w:hyperlink r:id="rId42" w:history="1">
        <w:r w:rsidRPr="00C10687">
          <w:rPr>
            <w:rStyle w:val="Hyperlink"/>
            <w:color w:val="2A2853"/>
            <w:u w:val="none"/>
          </w:rPr>
          <w:t>Developing Digital Resources</w:t>
        </w:r>
      </w:hyperlink>
      <w:r w:rsidRPr="00C10687">
        <w:t xml:space="preserve"> Guidance Materials</w:t>
      </w:r>
    </w:p>
    <w:p w14:paraId="39068ADD" w14:textId="3AA44209" w:rsidR="00C10687" w:rsidRPr="00C10687" w:rsidRDefault="00C10687" w:rsidP="00A569BA">
      <w:pPr>
        <w:pStyle w:val="Heading1"/>
        <w:spacing w:before="0" w:beforeAutospacing="0" w:after="0" w:afterAutospacing="0" w:line="240" w:lineRule="atLeast"/>
        <w:textAlignment w:val="baseline"/>
        <w:rPr>
          <w:rFonts w:ascii="Arial" w:hAnsi="Arial" w:cs="Arial"/>
          <w:b w:val="0"/>
          <w:bCs w:val="0"/>
          <w:color w:val="666666"/>
          <w:sz w:val="24"/>
          <w:szCs w:val="24"/>
        </w:rPr>
      </w:pPr>
      <w:r w:rsidRPr="00187AC4">
        <w:rPr>
          <w:rStyle w:val="ReferencelinkChar"/>
          <w:b/>
          <w:bCs/>
        </w:rPr>
        <w:t>Developing Digital Resources</w:t>
      </w:r>
      <w:r w:rsidRPr="00C10687">
        <w:rPr>
          <w:rFonts w:ascii="Arial" w:hAnsi="Arial" w:cs="Arial"/>
          <w:sz w:val="24"/>
          <w:szCs w:val="24"/>
        </w:rPr>
        <w:t xml:space="preserve"> </w:t>
      </w:r>
      <w:hyperlink r:id="rId43" w:history="1">
        <w:r w:rsidRPr="000E4A9A">
          <w:rPr>
            <w:rStyle w:val="Hyperlink"/>
            <w:rFonts w:ascii="Arial" w:hAnsi="Arial" w:cs="Arial"/>
            <w:color w:val="2EA3F2"/>
            <w:kern w:val="0"/>
            <w:sz w:val="24"/>
            <w:szCs w:val="24"/>
            <w:bdr w:val="none" w:sz="0" w:space="0" w:color="auto" w:frame="1"/>
          </w:rPr>
          <w:t>page</w:t>
        </w:r>
      </w:hyperlink>
    </w:p>
    <w:p w14:paraId="1B02A747" w14:textId="22DF7B6B" w:rsidR="00C10687" w:rsidRDefault="00C10687" w:rsidP="00C10687">
      <w:pPr>
        <w:pStyle w:val="NormalWeb"/>
        <w:shd w:val="clear" w:color="auto" w:fill="FFFFFF"/>
        <w:spacing w:before="0" w:beforeAutospacing="0" w:after="0" w:afterAutospacing="0"/>
        <w:textAlignment w:val="baseline"/>
        <w:rPr>
          <w:rFonts w:ascii="Arial" w:hAnsi="Arial" w:cs="Arial"/>
          <w:b/>
          <w:bCs/>
        </w:rPr>
      </w:pPr>
    </w:p>
    <w:p w14:paraId="70959DDB" w14:textId="120E6002" w:rsidR="00C10687" w:rsidRPr="000E4A9A" w:rsidRDefault="00C10687" w:rsidP="00C10687">
      <w:pPr>
        <w:spacing w:after="120"/>
        <w:jc w:val="both"/>
        <w:rPr>
          <w:rFonts w:ascii="Arial" w:hAnsi="Arial" w:cs="Arial"/>
          <w:sz w:val="24"/>
          <w:szCs w:val="24"/>
        </w:rPr>
      </w:pPr>
      <w:r w:rsidRPr="000E4A9A">
        <w:rPr>
          <w:rFonts w:ascii="Arial" w:hAnsi="Arial" w:cs="Arial"/>
          <w:sz w:val="24"/>
          <w:szCs w:val="24"/>
        </w:rPr>
        <w:t xml:space="preserve">The Developing Digital resources guidance has been drafted to help providers develop their </w:t>
      </w:r>
      <w:r w:rsidRPr="000E4A9A">
        <w:rPr>
          <w:rFonts w:ascii="Arial" w:eastAsia="Times New Roman" w:hAnsi="Arial" w:cs="Arial"/>
          <w:sz w:val="24"/>
          <w:szCs w:val="24"/>
        </w:rPr>
        <w:t>technological solutions, skills, capabilities and policy infrastructure. The project aims to provide guidance materials, training and support which will help providers develop their</w:t>
      </w:r>
      <w:r w:rsidRPr="000E4A9A">
        <w:rPr>
          <w:rFonts w:ascii="Arial" w:hAnsi="Arial" w:cs="Arial"/>
          <w:sz w:val="24"/>
          <w:szCs w:val="24"/>
        </w:rPr>
        <w:t xml:space="preserve"> digital capability and enhance their offer so that it meets the specific contexts of their local provision in line with a national high-quality approach.</w:t>
      </w:r>
    </w:p>
    <w:p w14:paraId="728E881E" w14:textId="77777777" w:rsidR="00C10687" w:rsidRDefault="00C10687" w:rsidP="00C10687">
      <w:pPr>
        <w:pStyle w:val="NormalWeb"/>
        <w:shd w:val="clear" w:color="auto" w:fill="FFFFFF"/>
        <w:spacing w:before="0" w:beforeAutospacing="0" w:after="0" w:afterAutospacing="0"/>
        <w:textAlignment w:val="baseline"/>
        <w:rPr>
          <w:rFonts w:ascii="Arial" w:hAnsi="Arial" w:cs="Arial"/>
          <w:b/>
          <w:bCs/>
        </w:rPr>
      </w:pPr>
    </w:p>
    <w:p w14:paraId="6F33F4A9" w14:textId="246A3F14" w:rsidR="00C10687" w:rsidRPr="00C10687" w:rsidRDefault="00C10687" w:rsidP="00187AC4">
      <w:pPr>
        <w:pStyle w:val="Referencelink"/>
      </w:pPr>
      <w:r w:rsidRPr="00C10687">
        <w:t>Developing Digital Resources Guidance Document</w:t>
      </w:r>
    </w:p>
    <w:p w14:paraId="1D87A004" w14:textId="5EA15B2F" w:rsidR="00C10687" w:rsidRPr="00C10687" w:rsidRDefault="00C10687" w:rsidP="00C10687">
      <w:pPr>
        <w:pStyle w:val="DANavybullet"/>
        <w:numPr>
          <w:ilvl w:val="0"/>
          <w:numId w:val="8"/>
        </w:numPr>
      </w:pPr>
      <w:r w:rsidRPr="00C10687">
        <w:t>Click to download our Digital ACE Developing Materials &amp; Resources guidance materials as a Word document </w:t>
      </w:r>
      <w:hyperlink r:id="rId44" w:history="1">
        <w:r w:rsidRPr="000E4A9A">
          <w:rPr>
            <w:rStyle w:val="Hyperlink"/>
            <w:color w:val="2EA3F2"/>
            <w:bdr w:val="none" w:sz="0" w:space="0" w:color="auto" w:frame="1"/>
          </w:rPr>
          <w:t>here</w:t>
        </w:r>
      </w:hyperlink>
      <w:r w:rsidRPr="00C10687">
        <w:t>.</w:t>
      </w:r>
    </w:p>
    <w:p w14:paraId="77126A87" w14:textId="77777777" w:rsidR="00C10687" w:rsidRPr="00C10687" w:rsidRDefault="00C10687" w:rsidP="00C10687">
      <w:pPr>
        <w:pStyle w:val="DANavybullet"/>
        <w:numPr>
          <w:ilvl w:val="0"/>
          <w:numId w:val="8"/>
        </w:numPr>
      </w:pPr>
      <w:r w:rsidRPr="00C10687">
        <w:t>Alternatively, you can view a pdf version of the Developing Materials &amp; Resources </w:t>
      </w:r>
      <w:hyperlink r:id="rId45" w:history="1">
        <w:r w:rsidRPr="000E4A9A">
          <w:rPr>
            <w:rStyle w:val="Hyperlink"/>
            <w:color w:val="2EA3F2"/>
            <w:bdr w:val="none" w:sz="0" w:space="0" w:color="auto" w:frame="1"/>
          </w:rPr>
          <w:t>here</w:t>
        </w:r>
      </w:hyperlink>
      <w:r w:rsidRPr="00C10687">
        <w:t>.</w:t>
      </w:r>
      <w:r w:rsidRPr="00C10687">
        <w:rPr>
          <w:bdr w:val="none" w:sz="0" w:space="0" w:color="auto" w:frame="1"/>
        </w:rPr>
        <w:t> Note that the hyperlinks won’t work in this pdf version.</w:t>
      </w:r>
    </w:p>
    <w:p w14:paraId="0C2C1351" w14:textId="65D85179" w:rsidR="00A569BA" w:rsidRPr="00C10687" w:rsidRDefault="00A569BA" w:rsidP="00187AC4">
      <w:pPr>
        <w:pStyle w:val="Referencelink"/>
      </w:pPr>
      <w:r w:rsidRPr="00C10687">
        <w:t>Annexes</w:t>
      </w:r>
    </w:p>
    <w:p w14:paraId="11EDCE17" w14:textId="77777777" w:rsidR="00A569BA" w:rsidRDefault="00A569BA" w:rsidP="00C10687">
      <w:pPr>
        <w:pStyle w:val="DANavybullet"/>
        <w:numPr>
          <w:ilvl w:val="0"/>
          <w:numId w:val="9"/>
        </w:numPr>
      </w:pPr>
      <w:r>
        <w:t>Click on the below links to download our customisable annexes. These are available for you to ‘adopt and adapt’. </w:t>
      </w:r>
    </w:p>
    <w:p w14:paraId="6B07FCA7" w14:textId="77777777" w:rsidR="00A569BA" w:rsidRDefault="00A569BA" w:rsidP="00C10687">
      <w:pPr>
        <w:pStyle w:val="DANavybullet"/>
        <w:numPr>
          <w:ilvl w:val="0"/>
          <w:numId w:val="9"/>
        </w:numPr>
      </w:pPr>
      <w:r>
        <w:t>Annex 1 – </w:t>
      </w:r>
      <w:hyperlink r:id="rId46" w:history="1">
        <w:r>
          <w:rPr>
            <w:rStyle w:val="Hyperlink"/>
            <w:color w:val="2EA3F2"/>
            <w:sz w:val="21"/>
            <w:szCs w:val="21"/>
            <w:bdr w:val="none" w:sz="0" w:space="0" w:color="auto" w:frame="1"/>
          </w:rPr>
          <w:t>The 7 Cs of Classroom Climate</w:t>
        </w:r>
      </w:hyperlink>
      <w:r>
        <w:t> from Visible Learning by John Hattie</w:t>
      </w:r>
    </w:p>
    <w:p w14:paraId="2C748AA1" w14:textId="77777777" w:rsidR="00A569BA" w:rsidRDefault="00A569BA" w:rsidP="00C10687">
      <w:pPr>
        <w:pStyle w:val="DANavybullet"/>
        <w:numPr>
          <w:ilvl w:val="0"/>
          <w:numId w:val="9"/>
        </w:numPr>
      </w:pPr>
      <w:r>
        <w:t>Annex 2 – Buckinghamshire Adult Learning – </w:t>
      </w:r>
      <w:hyperlink r:id="rId47" w:history="1">
        <w:r>
          <w:rPr>
            <w:rStyle w:val="Hyperlink"/>
            <w:color w:val="2EA3F2"/>
            <w:sz w:val="21"/>
            <w:szCs w:val="21"/>
            <w:bdr w:val="none" w:sz="0" w:space="0" w:color="auto" w:frame="1"/>
          </w:rPr>
          <w:t>How Google Classroom and Google Meet can help support the delivery of online learning</w:t>
        </w:r>
      </w:hyperlink>
    </w:p>
    <w:p w14:paraId="0DF714FD" w14:textId="77777777" w:rsidR="00A569BA" w:rsidRDefault="00A569BA" w:rsidP="00C10687">
      <w:pPr>
        <w:pStyle w:val="DANavybullet"/>
        <w:numPr>
          <w:ilvl w:val="0"/>
          <w:numId w:val="9"/>
        </w:numPr>
      </w:pPr>
      <w:r>
        <w:t>Annex 3 – Buckinghamshire Adult Learning’s </w:t>
      </w:r>
      <w:hyperlink r:id="rId48" w:history="1">
        <w:r>
          <w:rPr>
            <w:rStyle w:val="Hyperlink"/>
            <w:color w:val="2EA3F2"/>
            <w:sz w:val="21"/>
            <w:szCs w:val="21"/>
            <w:bdr w:val="none" w:sz="0" w:space="0" w:color="auto" w:frame="1"/>
          </w:rPr>
          <w:t>G-suite for online teaching and learning</w:t>
        </w:r>
      </w:hyperlink>
    </w:p>
    <w:p w14:paraId="5AECE0DC" w14:textId="77777777" w:rsidR="00A569BA" w:rsidRDefault="00A569BA" w:rsidP="00C10687">
      <w:pPr>
        <w:pStyle w:val="DANavybullet"/>
        <w:numPr>
          <w:ilvl w:val="0"/>
          <w:numId w:val="9"/>
        </w:numPr>
      </w:pPr>
      <w:r>
        <w:t>Annex 4 – Newcastle City Learning (Newcastle City Council) – </w:t>
      </w:r>
      <w:hyperlink r:id="rId49" w:history="1">
        <w:r>
          <w:rPr>
            <w:rStyle w:val="Hyperlink"/>
            <w:color w:val="2EA3F2"/>
            <w:sz w:val="21"/>
            <w:szCs w:val="21"/>
            <w:bdr w:val="none" w:sz="0" w:space="0" w:color="auto" w:frame="1"/>
          </w:rPr>
          <w:t>Online pedagogy and sharing practice</w:t>
        </w:r>
      </w:hyperlink>
    </w:p>
    <w:p w14:paraId="4C7B458B" w14:textId="77777777" w:rsidR="00A569BA" w:rsidRDefault="00A569BA" w:rsidP="00C10687">
      <w:pPr>
        <w:pStyle w:val="DANavybullet"/>
        <w:numPr>
          <w:ilvl w:val="0"/>
          <w:numId w:val="9"/>
        </w:numPr>
      </w:pPr>
      <w:r>
        <w:t>Annex 5 – Newcastle City Learning (Newcastle City Council) – </w:t>
      </w:r>
      <w:hyperlink r:id="rId50" w:history="1">
        <w:r>
          <w:rPr>
            <w:rStyle w:val="Hyperlink"/>
            <w:color w:val="2EA3F2"/>
            <w:sz w:val="21"/>
            <w:szCs w:val="21"/>
            <w:bdr w:val="none" w:sz="0" w:space="0" w:color="auto" w:frame="1"/>
          </w:rPr>
          <w:t>Teaching Presence &amp; Student Engagement </w:t>
        </w:r>
      </w:hyperlink>
      <w:r>
        <w:t> </w:t>
      </w:r>
    </w:p>
    <w:p w14:paraId="3027B55F" w14:textId="77777777" w:rsidR="00A569BA" w:rsidRDefault="00A569BA" w:rsidP="00C10687">
      <w:pPr>
        <w:pStyle w:val="DANavybullet"/>
        <w:numPr>
          <w:ilvl w:val="0"/>
          <w:numId w:val="9"/>
        </w:numPr>
      </w:pPr>
      <w:r>
        <w:t>Annex 6 – Buckinghamshire Adult Learning has collated </w:t>
      </w:r>
      <w:hyperlink r:id="rId51" w:history="1">
        <w:r>
          <w:rPr>
            <w:rStyle w:val="Hyperlink"/>
            <w:color w:val="2EA3F2"/>
            <w:sz w:val="21"/>
            <w:szCs w:val="21"/>
            <w:bdr w:val="none" w:sz="0" w:space="0" w:color="auto" w:frame="1"/>
          </w:rPr>
          <w:t>links for ‘Getting feedback from your learners’</w:t>
        </w:r>
      </w:hyperlink>
    </w:p>
    <w:p w14:paraId="7E65C91C" w14:textId="77777777" w:rsidR="00A569BA" w:rsidRDefault="00A569BA" w:rsidP="00C10687">
      <w:pPr>
        <w:pStyle w:val="DANavybullet"/>
        <w:numPr>
          <w:ilvl w:val="0"/>
          <w:numId w:val="9"/>
        </w:numPr>
      </w:pPr>
      <w:r>
        <w:t>Annex 7 – Newcastle City Learning (Newcastle City Council) – </w:t>
      </w:r>
      <w:hyperlink r:id="rId52" w:history="1">
        <w:r>
          <w:rPr>
            <w:rStyle w:val="Hyperlink"/>
            <w:color w:val="2EA3F2"/>
            <w:sz w:val="21"/>
            <w:szCs w:val="21"/>
            <w:bdr w:val="none" w:sz="0" w:space="0" w:color="auto" w:frame="1"/>
          </w:rPr>
          <w:t>Guide to being clued up on copyright</w:t>
        </w:r>
      </w:hyperlink>
    </w:p>
    <w:p w14:paraId="21E141F1" w14:textId="77777777" w:rsidR="00A569BA" w:rsidRDefault="00A569BA" w:rsidP="00C10687">
      <w:pPr>
        <w:pStyle w:val="DANavybullet"/>
        <w:numPr>
          <w:ilvl w:val="0"/>
          <w:numId w:val="9"/>
        </w:numPr>
      </w:pPr>
      <w:r>
        <w:t>Annex 8 – </w:t>
      </w:r>
      <w:hyperlink r:id="rId53" w:history="1">
        <w:r>
          <w:rPr>
            <w:rStyle w:val="Hyperlink"/>
            <w:color w:val="2EA3F2"/>
            <w:sz w:val="21"/>
            <w:szCs w:val="21"/>
            <w:bdr w:val="none" w:sz="0" w:space="0" w:color="auto" w:frame="1"/>
          </w:rPr>
          <w:t>Introductory slides on SCULPT</w:t>
        </w:r>
      </w:hyperlink>
      <w:r>
        <w:t> which is guidance for staff to create accessible documents for clients, learners and the public developed by staff at Worcestershire County Council. See also, </w:t>
      </w:r>
      <w:hyperlink r:id="rId54" w:history="1">
        <w:r>
          <w:rPr>
            <w:rStyle w:val="Hyperlink"/>
            <w:color w:val="2EA3F2"/>
            <w:sz w:val="21"/>
            <w:szCs w:val="21"/>
            <w:bdr w:val="none" w:sz="0" w:space="0" w:color="auto" w:frame="1"/>
          </w:rPr>
          <w:t>www.worcestershire.gov.uk/sculpt</w:t>
        </w:r>
      </w:hyperlink>
    </w:p>
    <w:p w14:paraId="59AB7D50" w14:textId="77777777" w:rsidR="00A569BA" w:rsidRDefault="00A569BA" w:rsidP="00C10687">
      <w:pPr>
        <w:pStyle w:val="DANavybullet"/>
        <w:numPr>
          <w:ilvl w:val="0"/>
          <w:numId w:val="9"/>
        </w:numPr>
      </w:pPr>
      <w:r>
        <w:t>Annex 9 – Buckinghamshire Adult Learning – </w:t>
      </w:r>
      <w:hyperlink r:id="rId55" w:history="1">
        <w:r>
          <w:rPr>
            <w:rStyle w:val="Hyperlink"/>
            <w:color w:val="2EA3F2"/>
            <w:sz w:val="21"/>
            <w:szCs w:val="21"/>
            <w:bdr w:val="none" w:sz="0" w:space="0" w:color="auto" w:frame="1"/>
          </w:rPr>
          <w:t>links for online communication</w:t>
        </w:r>
      </w:hyperlink>
    </w:p>
    <w:p w14:paraId="22F339D6" w14:textId="77777777" w:rsidR="00A569BA" w:rsidRDefault="00A569BA" w:rsidP="00C10687">
      <w:pPr>
        <w:pStyle w:val="DANavybullet"/>
        <w:numPr>
          <w:ilvl w:val="0"/>
          <w:numId w:val="9"/>
        </w:numPr>
      </w:pPr>
      <w:r>
        <w:t>Annex 10 – Manchester Adult Education Service’s (draft) </w:t>
      </w:r>
      <w:hyperlink r:id="rId56" w:history="1">
        <w:r>
          <w:rPr>
            <w:rStyle w:val="Hyperlink"/>
            <w:color w:val="2EA3F2"/>
            <w:sz w:val="21"/>
            <w:szCs w:val="21"/>
            <w:bdr w:val="none" w:sz="0" w:space="0" w:color="auto" w:frame="1"/>
          </w:rPr>
          <w:t>blended learning model</w:t>
        </w:r>
      </w:hyperlink>
    </w:p>
    <w:p w14:paraId="58DC9225" w14:textId="52C67815" w:rsidR="00A569BA" w:rsidRDefault="00A569BA"/>
    <w:p w14:paraId="22F9A3C2" w14:textId="5E0C130E" w:rsidR="00A569BA" w:rsidRDefault="00A569BA"/>
    <w:p w14:paraId="1043E82A" w14:textId="77777777" w:rsidR="00A569BA" w:rsidRDefault="00A569BA"/>
    <w:p w14:paraId="3B5779CE" w14:textId="25E8AB94" w:rsidR="00A569BA" w:rsidRDefault="00A569BA"/>
    <w:p w14:paraId="025FB5D5" w14:textId="77777777" w:rsidR="00C10687" w:rsidRDefault="00C10687">
      <w:pPr>
        <w:rPr>
          <w:rFonts w:ascii="Arial" w:eastAsia="Times New Roman" w:hAnsi="Arial" w:cs="Arial"/>
          <w:b/>
          <w:bCs/>
          <w:kern w:val="36"/>
          <w:sz w:val="53"/>
          <w:szCs w:val="53"/>
          <w:lang w:eastAsia="en-GB"/>
        </w:rPr>
      </w:pPr>
      <w:r>
        <w:rPr>
          <w:rFonts w:ascii="Arial" w:hAnsi="Arial" w:cs="Arial"/>
          <w:sz w:val="53"/>
          <w:szCs w:val="53"/>
        </w:rPr>
        <w:br w:type="page"/>
      </w:r>
    </w:p>
    <w:p w14:paraId="41E5D3E3" w14:textId="4A4CE0FA" w:rsidR="00A569BA" w:rsidRPr="000E4A9A" w:rsidRDefault="00A569BA" w:rsidP="000E4A9A">
      <w:pPr>
        <w:pStyle w:val="DigitalACEheading"/>
      </w:pPr>
      <w:hyperlink r:id="rId57" w:history="1">
        <w:r w:rsidRPr="000E4A9A">
          <w:rPr>
            <w:rStyle w:val="Hyperlink"/>
            <w:color w:val="2A2853"/>
            <w:u w:val="none"/>
          </w:rPr>
          <w:t>Quality Assurance</w:t>
        </w:r>
      </w:hyperlink>
      <w:r w:rsidRPr="000E4A9A">
        <w:t xml:space="preserve"> Guidance Materials</w:t>
      </w:r>
    </w:p>
    <w:p w14:paraId="30164268" w14:textId="33FE177E" w:rsidR="00C10687" w:rsidRDefault="000E4A9A" w:rsidP="00A569BA">
      <w:pPr>
        <w:pStyle w:val="Heading1"/>
        <w:spacing w:before="0" w:beforeAutospacing="0" w:after="0" w:afterAutospacing="0" w:line="240" w:lineRule="atLeast"/>
        <w:textAlignment w:val="baseline"/>
        <w:rPr>
          <w:rStyle w:val="Hyperlink"/>
          <w:color w:val="2EA3F2"/>
          <w:kern w:val="0"/>
          <w:bdr w:val="none" w:sz="0" w:space="0" w:color="auto" w:frame="1"/>
        </w:rPr>
      </w:pPr>
      <w:r w:rsidRPr="00187AC4">
        <w:rPr>
          <w:rStyle w:val="ReferencelinkChar"/>
          <w:b/>
          <w:bCs/>
        </w:rPr>
        <w:t>Quality Assurance Guidance</w:t>
      </w:r>
      <w:r w:rsidRPr="000E4A9A">
        <w:rPr>
          <w:rFonts w:ascii="Arial" w:hAnsi="Arial" w:cs="Arial"/>
          <w:sz w:val="24"/>
          <w:szCs w:val="24"/>
        </w:rPr>
        <w:t xml:space="preserve"> </w:t>
      </w:r>
      <w:hyperlink r:id="rId58" w:history="1">
        <w:r w:rsidRPr="000E4A9A">
          <w:rPr>
            <w:rStyle w:val="Hyperlink"/>
            <w:rFonts w:ascii="Arial" w:hAnsi="Arial" w:cs="Arial"/>
            <w:color w:val="2EA3F2"/>
            <w:kern w:val="0"/>
            <w:sz w:val="24"/>
            <w:szCs w:val="24"/>
            <w:bdr w:val="none" w:sz="0" w:space="0" w:color="auto" w:frame="1"/>
          </w:rPr>
          <w:t>page</w:t>
        </w:r>
      </w:hyperlink>
    </w:p>
    <w:p w14:paraId="35D80262" w14:textId="77777777" w:rsidR="00F243DF" w:rsidRPr="000E4A9A" w:rsidRDefault="00F243DF" w:rsidP="00A569BA">
      <w:pPr>
        <w:pStyle w:val="Heading1"/>
        <w:spacing w:before="0" w:beforeAutospacing="0" w:after="0" w:afterAutospacing="0" w:line="240" w:lineRule="atLeast"/>
        <w:textAlignment w:val="baseline"/>
        <w:rPr>
          <w:rFonts w:ascii="Arial" w:hAnsi="Arial" w:cs="Arial"/>
          <w:sz w:val="24"/>
          <w:szCs w:val="24"/>
        </w:rPr>
      </w:pPr>
    </w:p>
    <w:p w14:paraId="17C8713C" w14:textId="1BEF7B1D" w:rsidR="00C10687" w:rsidRPr="000E4A9A" w:rsidRDefault="00C10687" w:rsidP="00A569BA">
      <w:pPr>
        <w:pStyle w:val="Heading1"/>
        <w:spacing w:before="0" w:beforeAutospacing="0" w:after="0" w:afterAutospacing="0" w:line="240" w:lineRule="atLeast"/>
        <w:textAlignment w:val="baseline"/>
        <w:rPr>
          <w:rFonts w:ascii="Arial" w:hAnsi="Arial" w:cs="Arial"/>
          <w:b w:val="0"/>
          <w:bCs w:val="0"/>
          <w:sz w:val="24"/>
          <w:szCs w:val="24"/>
        </w:rPr>
      </w:pPr>
      <w:r w:rsidRPr="000E4A9A">
        <w:rPr>
          <w:rFonts w:ascii="Arial" w:hAnsi="Arial" w:cs="Arial"/>
          <w:b w:val="0"/>
          <w:bCs w:val="0"/>
          <w:sz w:val="24"/>
          <w:szCs w:val="24"/>
          <w:shd w:val="clear" w:color="auto" w:fill="FFFFFF"/>
        </w:rPr>
        <w:t>Our Digital ACE Quality Assurance guidance materials consider the quality criteria for online/remote learning that runs alongside or is separate to face-to-face learning. The contexts considered are across the spectrum for ACL providers, including adult learning, community learning, family learning, employability provision, apprenticeships, traineeships, 16-19 study programmes and provision for learners with high needs.</w:t>
      </w:r>
    </w:p>
    <w:p w14:paraId="30CFE664" w14:textId="77777777" w:rsidR="000E4A9A" w:rsidRPr="000E4A9A" w:rsidRDefault="000E4A9A" w:rsidP="000E4A9A">
      <w:pPr>
        <w:pStyle w:val="NormalWeb"/>
        <w:shd w:val="clear" w:color="auto" w:fill="FFFFFF"/>
        <w:spacing w:before="0" w:beforeAutospacing="0" w:after="0" w:afterAutospacing="0"/>
        <w:textAlignment w:val="baseline"/>
        <w:rPr>
          <w:rFonts w:ascii="Arial" w:hAnsi="Arial" w:cs="Arial"/>
        </w:rPr>
      </w:pPr>
    </w:p>
    <w:p w14:paraId="6B7040D5" w14:textId="3EBFA091" w:rsidR="000E4A9A" w:rsidRDefault="000E4A9A" w:rsidP="00187AC4">
      <w:pPr>
        <w:pStyle w:val="Referencelink"/>
      </w:pPr>
      <w:r w:rsidRPr="000E4A9A">
        <w:t>Quality Assurance Guidance Document</w:t>
      </w:r>
    </w:p>
    <w:p w14:paraId="587FA587" w14:textId="77777777" w:rsidR="00F243DF" w:rsidRPr="000E4A9A" w:rsidRDefault="00F243DF" w:rsidP="000E4A9A">
      <w:pPr>
        <w:pStyle w:val="NormalWeb"/>
        <w:shd w:val="clear" w:color="auto" w:fill="FFFFFF"/>
        <w:spacing w:before="0" w:beforeAutospacing="0" w:after="0" w:afterAutospacing="0"/>
        <w:textAlignment w:val="baseline"/>
        <w:rPr>
          <w:rFonts w:ascii="Arial" w:hAnsi="Arial" w:cs="Arial"/>
          <w:b/>
          <w:bCs/>
        </w:rPr>
      </w:pPr>
    </w:p>
    <w:p w14:paraId="402F6502" w14:textId="77777777" w:rsidR="000E4A9A" w:rsidRPr="000E4A9A" w:rsidRDefault="000E4A9A" w:rsidP="00F243DF">
      <w:pPr>
        <w:pStyle w:val="DANavybullet"/>
        <w:numPr>
          <w:ilvl w:val="0"/>
          <w:numId w:val="11"/>
        </w:numPr>
      </w:pPr>
      <w:r w:rsidRPr="000E4A9A">
        <w:t>Click to download our Quality Assurance guidance materials as a Word document </w:t>
      </w:r>
      <w:hyperlink r:id="rId59" w:history="1">
        <w:r w:rsidRPr="000E4A9A">
          <w:rPr>
            <w:rStyle w:val="Hyperlink"/>
            <w:color w:val="2EA3F2"/>
            <w:bdr w:val="none" w:sz="0" w:space="0" w:color="auto" w:frame="1"/>
          </w:rPr>
          <w:t>here</w:t>
        </w:r>
      </w:hyperlink>
      <w:r w:rsidRPr="000E4A9A">
        <w:t>.</w:t>
      </w:r>
    </w:p>
    <w:p w14:paraId="7542C548" w14:textId="77777777" w:rsidR="000E4A9A" w:rsidRPr="000E4A9A" w:rsidRDefault="000E4A9A" w:rsidP="00F243DF">
      <w:pPr>
        <w:pStyle w:val="DANavybullet"/>
        <w:numPr>
          <w:ilvl w:val="0"/>
          <w:numId w:val="11"/>
        </w:numPr>
      </w:pPr>
      <w:r w:rsidRPr="000E4A9A">
        <w:t>Alternatively, you can view a pdf version of the Quality Assurance Guidance Materials </w:t>
      </w:r>
      <w:hyperlink r:id="rId60" w:history="1">
        <w:r w:rsidRPr="000E4A9A">
          <w:rPr>
            <w:rStyle w:val="Hyperlink"/>
            <w:color w:val="2EA3F2"/>
            <w:bdr w:val="none" w:sz="0" w:space="0" w:color="auto" w:frame="1"/>
          </w:rPr>
          <w:t>here</w:t>
        </w:r>
      </w:hyperlink>
      <w:r w:rsidRPr="000E4A9A">
        <w:t>. Note that the hyperlinks won't work in this pdf version.</w:t>
      </w:r>
    </w:p>
    <w:p w14:paraId="224886E1" w14:textId="77777777" w:rsidR="00C10687" w:rsidRPr="000E4A9A" w:rsidRDefault="00C10687" w:rsidP="00A569BA">
      <w:pPr>
        <w:pStyle w:val="Heading1"/>
        <w:spacing w:before="0" w:beforeAutospacing="0" w:after="0" w:afterAutospacing="0" w:line="240" w:lineRule="atLeast"/>
        <w:textAlignment w:val="baseline"/>
        <w:rPr>
          <w:rFonts w:ascii="Arial" w:hAnsi="Arial" w:cs="Arial"/>
          <w:b w:val="0"/>
          <w:bCs w:val="0"/>
          <w:color w:val="666666"/>
          <w:sz w:val="24"/>
          <w:szCs w:val="24"/>
        </w:rPr>
      </w:pPr>
    </w:p>
    <w:p w14:paraId="1EC3D3FC" w14:textId="7FACC683" w:rsidR="00A569BA" w:rsidRPr="000E4A9A" w:rsidRDefault="00A569BA" w:rsidP="00187AC4">
      <w:pPr>
        <w:pStyle w:val="Referencelink"/>
      </w:pPr>
      <w:r w:rsidRPr="000E4A9A">
        <w:t>Annexes</w:t>
      </w:r>
    </w:p>
    <w:p w14:paraId="59A81F98" w14:textId="05A0C03F" w:rsidR="00A569BA" w:rsidRDefault="00A569BA" w:rsidP="00A569BA">
      <w:pPr>
        <w:pStyle w:val="NormalWeb"/>
        <w:spacing w:before="0" w:beforeAutospacing="0" w:after="0" w:afterAutospacing="0"/>
        <w:textAlignment w:val="baseline"/>
        <w:rPr>
          <w:rFonts w:ascii="Arial" w:hAnsi="Arial" w:cs="Arial"/>
        </w:rPr>
      </w:pPr>
      <w:r w:rsidRPr="000E4A9A">
        <w:rPr>
          <w:rFonts w:ascii="Arial" w:hAnsi="Arial" w:cs="Arial"/>
        </w:rPr>
        <w:t>Click on the below links to download our customisable annexes. These are available for you to ‘adopt and adapt’. </w:t>
      </w:r>
    </w:p>
    <w:p w14:paraId="02FBF4DA" w14:textId="77777777" w:rsidR="00F243DF" w:rsidRPr="000E4A9A" w:rsidRDefault="00F243DF" w:rsidP="00A569BA">
      <w:pPr>
        <w:pStyle w:val="NormalWeb"/>
        <w:spacing w:before="0" w:beforeAutospacing="0" w:after="0" w:afterAutospacing="0"/>
        <w:textAlignment w:val="baseline"/>
        <w:rPr>
          <w:rFonts w:ascii="Arial" w:hAnsi="Arial" w:cs="Arial"/>
        </w:rPr>
      </w:pPr>
    </w:p>
    <w:p w14:paraId="21D0FB23" w14:textId="10C5AB68" w:rsidR="00A569BA" w:rsidRPr="000E4A9A" w:rsidRDefault="00A569BA" w:rsidP="000E4A9A">
      <w:pPr>
        <w:pStyle w:val="DANavybullet"/>
        <w:numPr>
          <w:ilvl w:val="0"/>
          <w:numId w:val="10"/>
        </w:numPr>
      </w:pPr>
      <w:r w:rsidRPr="000E4A9A">
        <w:rPr>
          <w:bdr w:val="none" w:sz="0" w:space="0" w:color="auto" w:frame="1"/>
        </w:rPr>
        <w:t>Annex 1 – </w:t>
      </w:r>
      <w:hyperlink r:id="rId61" w:history="1">
        <w:r w:rsidRPr="000E4A9A">
          <w:rPr>
            <w:rStyle w:val="Hyperlink"/>
            <w:color w:val="2EA3F2"/>
            <w:bdr w:val="none" w:sz="0" w:space="0" w:color="auto" w:frame="1"/>
          </w:rPr>
          <w:t>Learn Harrow survey questions to learners</w:t>
        </w:r>
      </w:hyperlink>
      <w:r w:rsidRPr="000E4A9A">
        <w:rPr>
          <w:bdr w:val="none" w:sz="0" w:space="0" w:color="auto" w:frame="1"/>
        </w:rPr>
        <w:t> – considering learners’ overall experience of online learning</w:t>
      </w:r>
    </w:p>
    <w:p w14:paraId="693F3D49" w14:textId="77777777" w:rsidR="00A569BA" w:rsidRPr="000E4A9A" w:rsidRDefault="00A569BA" w:rsidP="000E4A9A">
      <w:pPr>
        <w:pStyle w:val="DANavybullet"/>
        <w:numPr>
          <w:ilvl w:val="0"/>
          <w:numId w:val="10"/>
        </w:numPr>
      </w:pPr>
      <w:r w:rsidRPr="000E4A9A">
        <w:t>Annex 2 – </w:t>
      </w:r>
      <w:hyperlink r:id="rId62" w:history="1">
        <w:r w:rsidRPr="000E4A9A">
          <w:rPr>
            <w:rStyle w:val="Hyperlink"/>
            <w:color w:val="2EA3F2"/>
            <w:bdr w:val="none" w:sz="0" w:space="0" w:color="auto" w:frame="1"/>
          </w:rPr>
          <w:t>Learn Harrow survey questions to teaching staff</w:t>
        </w:r>
      </w:hyperlink>
      <w:r w:rsidRPr="000E4A9A">
        <w:t> – considering their overall experience of delivering online learning. (Q 16 – 19 for questions on IAG)</w:t>
      </w:r>
    </w:p>
    <w:p w14:paraId="3A1F15FA" w14:textId="77777777" w:rsidR="00A569BA" w:rsidRPr="000E4A9A" w:rsidRDefault="00A569BA" w:rsidP="000E4A9A">
      <w:pPr>
        <w:pStyle w:val="DANavybullet"/>
        <w:numPr>
          <w:ilvl w:val="0"/>
          <w:numId w:val="10"/>
        </w:numPr>
      </w:pPr>
      <w:r w:rsidRPr="000E4A9A">
        <w:t>Annex 3 – </w:t>
      </w:r>
      <w:hyperlink r:id="rId63" w:history="1">
        <w:r w:rsidRPr="000E4A9A">
          <w:rPr>
            <w:rStyle w:val="Hyperlink"/>
            <w:color w:val="2EA3F2"/>
            <w:bdr w:val="none" w:sz="0" w:space="0" w:color="auto" w:frame="1"/>
          </w:rPr>
          <w:t>Bromley Adult Education College – QA of induction and IAG</w:t>
        </w:r>
      </w:hyperlink>
    </w:p>
    <w:p w14:paraId="559AE658" w14:textId="77777777" w:rsidR="00A569BA" w:rsidRPr="000E4A9A" w:rsidRDefault="00A569BA" w:rsidP="000E4A9A">
      <w:pPr>
        <w:pStyle w:val="DANavybullet"/>
        <w:numPr>
          <w:ilvl w:val="0"/>
          <w:numId w:val="10"/>
        </w:numPr>
      </w:pPr>
      <w:r w:rsidRPr="000E4A9A">
        <w:t>Annex 4 – </w:t>
      </w:r>
      <w:hyperlink r:id="rId64" w:history="1">
        <w:r w:rsidRPr="000E4A9A">
          <w:rPr>
            <w:rStyle w:val="Hyperlink"/>
            <w:color w:val="2EA3F2"/>
            <w:bdr w:val="none" w:sz="0" w:space="0" w:color="auto" w:frame="1"/>
          </w:rPr>
          <w:t>Buckinghamshire County Council online self-assessment for staff</w:t>
        </w:r>
      </w:hyperlink>
      <w:r w:rsidRPr="000E4A9A">
        <w:t> – considering staff’s digital skills</w:t>
      </w:r>
    </w:p>
    <w:p w14:paraId="3283A599" w14:textId="77777777" w:rsidR="00A569BA" w:rsidRPr="000E4A9A" w:rsidRDefault="00A569BA" w:rsidP="000E4A9A">
      <w:pPr>
        <w:pStyle w:val="DANavybullet"/>
        <w:numPr>
          <w:ilvl w:val="0"/>
          <w:numId w:val="10"/>
        </w:numPr>
      </w:pPr>
      <w:r w:rsidRPr="000E4A9A">
        <w:t>Annex 5 – </w:t>
      </w:r>
      <w:hyperlink r:id="rId65" w:history="1">
        <w:r w:rsidRPr="000E4A9A">
          <w:rPr>
            <w:rStyle w:val="Hyperlink"/>
            <w:color w:val="2EA3F2"/>
            <w:bdr w:val="none" w:sz="0" w:space="0" w:color="auto" w:frame="1"/>
          </w:rPr>
          <w:t>ACL Essex survey to learners</w:t>
        </w:r>
      </w:hyperlink>
      <w:r w:rsidRPr="000E4A9A">
        <w:t> – considering learners’ online learning experience.</w:t>
      </w:r>
    </w:p>
    <w:p w14:paraId="7F749A12" w14:textId="77777777" w:rsidR="00A569BA" w:rsidRPr="000E4A9A" w:rsidRDefault="00A569BA" w:rsidP="000E4A9A">
      <w:pPr>
        <w:pStyle w:val="DANavybullet"/>
        <w:numPr>
          <w:ilvl w:val="0"/>
          <w:numId w:val="10"/>
        </w:numPr>
      </w:pPr>
      <w:r w:rsidRPr="000E4A9A">
        <w:t>Annex 6 – </w:t>
      </w:r>
      <w:hyperlink r:id="rId66" w:history="1">
        <w:r w:rsidRPr="000E4A9A">
          <w:rPr>
            <w:rStyle w:val="Hyperlink"/>
            <w:color w:val="2EA3F2"/>
            <w:bdr w:val="none" w:sz="0" w:space="0" w:color="auto" w:frame="1"/>
          </w:rPr>
          <w:t>Northern College guidance for tutors OTL for online learning</w:t>
        </w:r>
      </w:hyperlink>
      <w:r w:rsidRPr="000E4A9A">
        <w:t> – considering amendments to current session observation processes.</w:t>
      </w:r>
    </w:p>
    <w:p w14:paraId="3747AD49" w14:textId="77777777" w:rsidR="00A569BA" w:rsidRPr="000E4A9A" w:rsidRDefault="00A569BA" w:rsidP="000E4A9A">
      <w:pPr>
        <w:pStyle w:val="DANavybullet"/>
        <w:numPr>
          <w:ilvl w:val="0"/>
          <w:numId w:val="10"/>
        </w:numPr>
      </w:pPr>
      <w:r w:rsidRPr="000E4A9A">
        <w:t>Annex 7 – </w:t>
      </w:r>
      <w:hyperlink r:id="rId67" w:history="1">
        <w:r w:rsidRPr="000E4A9A">
          <w:rPr>
            <w:rStyle w:val="Hyperlink"/>
            <w:color w:val="2EA3F2"/>
            <w:bdr w:val="none" w:sz="0" w:space="0" w:color="auto" w:frame="1"/>
          </w:rPr>
          <w:t>The DfE evaluation criteria for its Skills Toolkit courses</w:t>
        </w:r>
      </w:hyperlink>
    </w:p>
    <w:p w14:paraId="53CF9007" w14:textId="77777777" w:rsidR="00A569BA" w:rsidRPr="000E4A9A" w:rsidRDefault="00A569BA" w:rsidP="000E4A9A">
      <w:pPr>
        <w:pStyle w:val="DANavybullet"/>
        <w:numPr>
          <w:ilvl w:val="0"/>
          <w:numId w:val="10"/>
        </w:numPr>
      </w:pPr>
      <w:r w:rsidRPr="000E4A9A">
        <w:t>Annex 8 – </w:t>
      </w:r>
      <w:hyperlink r:id="rId68" w:history="1">
        <w:r w:rsidRPr="000E4A9A">
          <w:rPr>
            <w:rStyle w:val="Hyperlink"/>
            <w:color w:val="2EA3F2"/>
            <w:bdr w:val="none" w:sz="0" w:space="0" w:color="auto" w:frame="1"/>
          </w:rPr>
          <w:t>ACL Essex guidance for self-assessment of online provision</w:t>
        </w:r>
      </w:hyperlink>
    </w:p>
    <w:p w14:paraId="5CD53375" w14:textId="77777777" w:rsidR="00A569BA" w:rsidRPr="000E4A9A" w:rsidRDefault="00A569BA" w:rsidP="000E4A9A">
      <w:pPr>
        <w:pStyle w:val="DANavybullet"/>
        <w:numPr>
          <w:ilvl w:val="0"/>
          <w:numId w:val="10"/>
        </w:numPr>
      </w:pPr>
      <w:r w:rsidRPr="000E4A9A">
        <w:t>Annex 9 – </w:t>
      </w:r>
      <w:hyperlink r:id="rId69" w:history="1">
        <w:r w:rsidRPr="000E4A9A">
          <w:rPr>
            <w:rStyle w:val="Hyperlink"/>
            <w:color w:val="2EA3F2"/>
            <w:bdr w:val="none" w:sz="0" w:space="0" w:color="auto" w:frame="1"/>
          </w:rPr>
          <w:t>Template for online evaluation for self-assessment</w:t>
        </w:r>
      </w:hyperlink>
      <w:r w:rsidRPr="000E4A9A">
        <w:t> – recording an online ‘visit’ to a learning centre for self-assessment.</w:t>
      </w:r>
    </w:p>
    <w:p w14:paraId="7A240450" w14:textId="77777777" w:rsidR="00A569BA" w:rsidRPr="000E4A9A" w:rsidRDefault="00A569BA" w:rsidP="000E4A9A">
      <w:pPr>
        <w:pStyle w:val="DANavybullet"/>
        <w:numPr>
          <w:ilvl w:val="0"/>
          <w:numId w:val="10"/>
        </w:numPr>
      </w:pPr>
      <w:r w:rsidRPr="000E4A9A">
        <w:t>Annex 10 – </w:t>
      </w:r>
      <w:hyperlink r:id="rId70" w:history="1">
        <w:r w:rsidRPr="000E4A9A">
          <w:rPr>
            <w:rStyle w:val="Hyperlink"/>
            <w:color w:val="2EA3F2"/>
            <w:bdr w:val="none" w:sz="0" w:space="0" w:color="auto" w:frame="1"/>
          </w:rPr>
          <w:t>Learn Harrow quality measures for Covid-19</w:t>
        </w:r>
      </w:hyperlink>
      <w:r w:rsidRPr="000E4A9A">
        <w:t> – covering the intent, implementation and impact of the digital provision, in light of the pandemic.</w:t>
      </w:r>
    </w:p>
    <w:p w14:paraId="5A76AA71" w14:textId="77777777" w:rsidR="00A569BA" w:rsidRDefault="00A569BA" w:rsidP="00F243DF">
      <w:pPr>
        <w:pStyle w:val="DANavybullet"/>
        <w:numPr>
          <w:ilvl w:val="0"/>
          <w:numId w:val="0"/>
        </w:numPr>
      </w:pPr>
    </w:p>
    <w:p w14:paraId="3EC20FD7" w14:textId="77777777" w:rsidR="00F243DF" w:rsidRDefault="00F243DF">
      <w:pPr>
        <w:rPr>
          <w:rFonts w:ascii="Arial" w:hAnsi="Arial" w:cs="Arial"/>
          <w:b/>
          <w:bCs/>
          <w:color w:val="2A2853"/>
          <w:sz w:val="28"/>
          <w:szCs w:val="28"/>
        </w:rPr>
      </w:pPr>
      <w:r>
        <w:br w:type="page"/>
      </w:r>
    </w:p>
    <w:p w14:paraId="1B561E50" w14:textId="76052750" w:rsidR="00A569BA" w:rsidRPr="00F243DF" w:rsidRDefault="00A569BA" w:rsidP="00F243DF">
      <w:pPr>
        <w:pStyle w:val="DigitalACEheading"/>
      </w:pPr>
      <w:hyperlink r:id="rId71" w:history="1">
        <w:r w:rsidRPr="00F243DF">
          <w:rPr>
            <w:rStyle w:val="Hyperlink"/>
            <w:color w:val="2A2853"/>
            <w:u w:val="none"/>
          </w:rPr>
          <w:t>Supporting Low Skilled Learners</w:t>
        </w:r>
      </w:hyperlink>
      <w:r w:rsidRPr="00F243DF">
        <w:t xml:space="preserve"> Guidance Materials</w:t>
      </w:r>
    </w:p>
    <w:p w14:paraId="5E9503F4" w14:textId="2860F473" w:rsidR="00F243DF" w:rsidRDefault="00F243DF" w:rsidP="00A569BA">
      <w:pPr>
        <w:pStyle w:val="Heading1"/>
        <w:spacing w:before="0" w:beforeAutospacing="0" w:after="0" w:afterAutospacing="0" w:line="240" w:lineRule="atLeast"/>
        <w:textAlignment w:val="baseline"/>
        <w:rPr>
          <w:rFonts w:ascii="Arial" w:hAnsi="Arial" w:cs="Arial"/>
          <w:sz w:val="24"/>
          <w:szCs w:val="24"/>
        </w:rPr>
      </w:pPr>
    </w:p>
    <w:p w14:paraId="2A8EAE87" w14:textId="74DD4849" w:rsidR="00F243DF" w:rsidRPr="00F243DF" w:rsidRDefault="00F243DF" w:rsidP="00A569BA">
      <w:pPr>
        <w:pStyle w:val="Heading1"/>
        <w:spacing w:before="0" w:beforeAutospacing="0" w:after="0" w:afterAutospacing="0" w:line="240" w:lineRule="atLeast"/>
        <w:textAlignment w:val="baseline"/>
        <w:rPr>
          <w:rFonts w:ascii="Arial" w:hAnsi="Arial" w:cs="Arial"/>
          <w:sz w:val="24"/>
          <w:szCs w:val="24"/>
        </w:rPr>
      </w:pPr>
      <w:r w:rsidRPr="00187AC4">
        <w:rPr>
          <w:rStyle w:val="ReferencelinkChar"/>
          <w:b/>
          <w:bCs/>
          <w:lang w:eastAsia="en-US"/>
        </w:rPr>
        <w:t xml:space="preserve">Supporting Low Skilled Learners guidance </w:t>
      </w:r>
      <w:hyperlink r:id="rId72" w:history="1">
        <w:r w:rsidRPr="00F243DF">
          <w:rPr>
            <w:rStyle w:val="Hyperlink"/>
            <w:rFonts w:ascii="Arial" w:hAnsi="Arial" w:cs="Arial"/>
            <w:sz w:val="24"/>
            <w:szCs w:val="24"/>
          </w:rPr>
          <w:t>page</w:t>
        </w:r>
      </w:hyperlink>
    </w:p>
    <w:p w14:paraId="453C8073" w14:textId="6E529475" w:rsidR="00F243DF" w:rsidRPr="00F243DF" w:rsidRDefault="00F243DF" w:rsidP="00A569BA">
      <w:pPr>
        <w:pStyle w:val="Heading1"/>
        <w:spacing w:before="0" w:beforeAutospacing="0" w:after="0" w:afterAutospacing="0" w:line="240" w:lineRule="atLeast"/>
        <w:textAlignment w:val="baseline"/>
        <w:rPr>
          <w:rFonts w:ascii="Arial" w:hAnsi="Arial" w:cs="Arial"/>
          <w:sz w:val="24"/>
          <w:szCs w:val="24"/>
        </w:rPr>
      </w:pPr>
    </w:p>
    <w:p w14:paraId="71164775" w14:textId="48FA4DF0" w:rsidR="00F243DF" w:rsidRPr="00F243DF" w:rsidRDefault="00F243DF" w:rsidP="00A569BA">
      <w:pPr>
        <w:pStyle w:val="Heading1"/>
        <w:spacing w:before="0" w:beforeAutospacing="0" w:after="0" w:afterAutospacing="0" w:line="240" w:lineRule="atLeast"/>
        <w:textAlignment w:val="baseline"/>
        <w:rPr>
          <w:rFonts w:ascii="Arial" w:hAnsi="Arial" w:cs="Arial"/>
          <w:b w:val="0"/>
          <w:bCs w:val="0"/>
          <w:sz w:val="24"/>
          <w:szCs w:val="24"/>
        </w:rPr>
      </w:pPr>
      <w:r w:rsidRPr="00F243DF">
        <w:rPr>
          <w:rFonts w:ascii="Arial" w:hAnsi="Arial" w:cs="Arial"/>
          <w:b w:val="0"/>
          <w:bCs w:val="0"/>
          <w:sz w:val="24"/>
          <w:szCs w:val="24"/>
        </w:rPr>
        <w:t>Our Digital ACE Supporting Low Skilled Learners guidance materials have been drafted to help providers develop their approaches to delivering online or blended learning programmes to low skilled learners. </w:t>
      </w:r>
    </w:p>
    <w:p w14:paraId="44345156" w14:textId="77777777" w:rsidR="00F243DF" w:rsidRDefault="00F243DF" w:rsidP="00F243DF">
      <w:pPr>
        <w:pStyle w:val="NormalWeb"/>
        <w:shd w:val="clear" w:color="auto" w:fill="FFFFFF"/>
        <w:spacing w:before="0" w:beforeAutospacing="0" w:after="0" w:afterAutospacing="0"/>
        <w:textAlignment w:val="baseline"/>
        <w:rPr>
          <w:rFonts w:ascii="Arial" w:hAnsi="Arial" w:cs="Arial"/>
          <w:color w:val="666666"/>
          <w:sz w:val="21"/>
          <w:szCs w:val="21"/>
        </w:rPr>
      </w:pPr>
    </w:p>
    <w:p w14:paraId="25C02551" w14:textId="6B888D5C" w:rsidR="00F243DF" w:rsidRPr="00F243DF" w:rsidRDefault="00F243DF" w:rsidP="00187AC4">
      <w:pPr>
        <w:pStyle w:val="Referencelink"/>
        <w:rPr>
          <w:color w:val="666666"/>
          <w:sz w:val="21"/>
          <w:szCs w:val="21"/>
        </w:rPr>
      </w:pPr>
      <w:r w:rsidRPr="00F243DF">
        <w:t xml:space="preserve">Supporting Low Skilled Learners </w:t>
      </w:r>
      <w:r w:rsidRPr="00F243DF">
        <w:rPr>
          <w:color w:val="auto"/>
        </w:rPr>
        <w:t>Document</w:t>
      </w:r>
      <w:r w:rsidRPr="00F243DF">
        <w:rPr>
          <w:color w:val="666666"/>
          <w:sz w:val="21"/>
          <w:szCs w:val="21"/>
        </w:rPr>
        <w:t xml:space="preserve"> </w:t>
      </w:r>
    </w:p>
    <w:p w14:paraId="5C81A2D7" w14:textId="77777777" w:rsidR="00F243DF" w:rsidRDefault="00F243DF" w:rsidP="00F243DF">
      <w:pPr>
        <w:pStyle w:val="NormalWeb"/>
        <w:shd w:val="clear" w:color="auto" w:fill="FFFFFF"/>
        <w:spacing w:before="0" w:beforeAutospacing="0" w:after="0" w:afterAutospacing="0"/>
        <w:textAlignment w:val="baseline"/>
        <w:rPr>
          <w:rFonts w:ascii="Arial" w:hAnsi="Arial" w:cs="Arial"/>
          <w:color w:val="666666"/>
          <w:sz w:val="21"/>
          <w:szCs w:val="21"/>
        </w:rPr>
      </w:pPr>
    </w:p>
    <w:p w14:paraId="38869906" w14:textId="70A3F1D6" w:rsidR="00F243DF" w:rsidRPr="00F243DF" w:rsidRDefault="00F243DF" w:rsidP="00F243DF">
      <w:pPr>
        <w:pStyle w:val="DANavybullet"/>
        <w:numPr>
          <w:ilvl w:val="0"/>
          <w:numId w:val="25"/>
        </w:numPr>
      </w:pPr>
      <w:r w:rsidRPr="00F243DF">
        <w:t>Click to download our Digital Supporting Low Skilled Learners guidance materials as a Word document </w:t>
      </w:r>
      <w:hyperlink r:id="rId73" w:history="1">
        <w:r w:rsidRPr="00F243DF">
          <w:rPr>
            <w:rStyle w:val="Hyperlink"/>
            <w:color w:val="2EA3F2"/>
            <w:u w:val="none"/>
            <w:bdr w:val="none" w:sz="0" w:space="0" w:color="auto" w:frame="1"/>
          </w:rPr>
          <w:t>here</w:t>
        </w:r>
      </w:hyperlink>
      <w:r w:rsidRPr="00F243DF">
        <w:t>.</w:t>
      </w:r>
    </w:p>
    <w:p w14:paraId="1EA958FE" w14:textId="77777777" w:rsidR="00F243DF" w:rsidRPr="00F243DF" w:rsidRDefault="00F243DF" w:rsidP="00F243DF">
      <w:pPr>
        <w:pStyle w:val="DANavybullet"/>
        <w:numPr>
          <w:ilvl w:val="0"/>
          <w:numId w:val="25"/>
        </w:numPr>
      </w:pPr>
      <w:r w:rsidRPr="00F243DF">
        <w:t>Alternatively, you can view a pdf version of the Digital Supporting Low Skilled Learners guidance materials </w:t>
      </w:r>
      <w:hyperlink r:id="rId74" w:history="1">
        <w:r w:rsidRPr="00F243DF">
          <w:rPr>
            <w:rStyle w:val="Hyperlink"/>
            <w:color w:val="2EA3F2"/>
            <w:u w:val="none"/>
            <w:bdr w:val="none" w:sz="0" w:space="0" w:color="auto" w:frame="1"/>
          </w:rPr>
          <w:t>here</w:t>
        </w:r>
      </w:hyperlink>
      <w:r w:rsidRPr="00F243DF">
        <w:t>.</w:t>
      </w:r>
      <w:r w:rsidRPr="00F243DF">
        <w:rPr>
          <w:bdr w:val="none" w:sz="0" w:space="0" w:color="auto" w:frame="1"/>
        </w:rPr>
        <w:t> Note that the hyperlinks won’t work in this pdf version.</w:t>
      </w:r>
    </w:p>
    <w:p w14:paraId="494BE814" w14:textId="498FA171" w:rsidR="00F243DF" w:rsidRDefault="00F243DF" w:rsidP="00A569BA">
      <w:pPr>
        <w:pStyle w:val="Heading1"/>
        <w:spacing w:before="0" w:beforeAutospacing="0" w:after="0" w:afterAutospacing="0" w:line="240" w:lineRule="atLeast"/>
        <w:textAlignment w:val="baseline"/>
        <w:rPr>
          <w:rFonts w:ascii="Arial" w:hAnsi="Arial" w:cs="Arial"/>
          <w:sz w:val="24"/>
          <w:szCs w:val="24"/>
        </w:rPr>
      </w:pPr>
    </w:p>
    <w:p w14:paraId="44E85B42" w14:textId="6275DC65" w:rsidR="00A569BA" w:rsidRPr="00F243DF" w:rsidRDefault="00A569BA" w:rsidP="00187AC4">
      <w:pPr>
        <w:pStyle w:val="Referencelink"/>
      </w:pPr>
      <w:r w:rsidRPr="00F243DF">
        <w:t>Annexes</w:t>
      </w:r>
    </w:p>
    <w:p w14:paraId="2101CE9E" w14:textId="77777777" w:rsidR="00A569BA" w:rsidRPr="00F243DF" w:rsidRDefault="00A569BA" w:rsidP="00F243DF">
      <w:pPr>
        <w:rPr>
          <w:rFonts w:ascii="Arial" w:hAnsi="Arial" w:cs="Arial"/>
          <w:sz w:val="24"/>
          <w:szCs w:val="24"/>
        </w:rPr>
      </w:pPr>
      <w:r w:rsidRPr="00F243DF">
        <w:rPr>
          <w:rFonts w:ascii="Arial" w:hAnsi="Arial" w:cs="Arial"/>
          <w:sz w:val="24"/>
          <w:szCs w:val="24"/>
        </w:rPr>
        <w:t>Click on the below links to download our customisable annexes. These are available for you to ‘adopt and adapt’.</w:t>
      </w:r>
    </w:p>
    <w:p w14:paraId="5D603C7E" w14:textId="77777777" w:rsidR="00A569BA" w:rsidRPr="00F243DF" w:rsidRDefault="00A569BA" w:rsidP="00F243DF">
      <w:pPr>
        <w:pStyle w:val="DANavybullet"/>
        <w:numPr>
          <w:ilvl w:val="0"/>
          <w:numId w:val="24"/>
        </w:numPr>
      </w:pPr>
      <w:r w:rsidRPr="00F243DF">
        <w:t>Annex 1 – </w:t>
      </w:r>
      <w:hyperlink r:id="rId75" w:history="1">
        <w:r w:rsidRPr="00F243DF">
          <w:rPr>
            <w:rStyle w:val="Hyperlink"/>
            <w:color w:val="auto"/>
            <w:u w:val="none"/>
          </w:rPr>
          <w:t>Checklist for ground rules for online learning</w:t>
        </w:r>
      </w:hyperlink>
    </w:p>
    <w:p w14:paraId="4FFD9759" w14:textId="77777777" w:rsidR="00A569BA" w:rsidRPr="00F243DF" w:rsidRDefault="00A569BA" w:rsidP="00F243DF">
      <w:pPr>
        <w:pStyle w:val="DANavybullet"/>
        <w:numPr>
          <w:ilvl w:val="0"/>
          <w:numId w:val="24"/>
        </w:numPr>
      </w:pPr>
      <w:r w:rsidRPr="00F243DF">
        <w:t>Annex 2 – </w:t>
      </w:r>
      <w:hyperlink r:id="rId76" w:history="1">
        <w:r w:rsidRPr="00F243DF">
          <w:rPr>
            <w:rStyle w:val="Hyperlink"/>
            <w:color w:val="auto"/>
            <w:u w:val="none"/>
          </w:rPr>
          <w:t>Checklist for study skills for online learning</w:t>
        </w:r>
      </w:hyperlink>
    </w:p>
    <w:p w14:paraId="4EA4088C" w14:textId="77777777" w:rsidR="00A569BA" w:rsidRPr="00F243DF" w:rsidRDefault="00A569BA" w:rsidP="00F243DF">
      <w:pPr>
        <w:pStyle w:val="DANavybullet"/>
        <w:numPr>
          <w:ilvl w:val="0"/>
          <w:numId w:val="24"/>
        </w:numPr>
      </w:pPr>
      <w:r w:rsidRPr="00F243DF">
        <w:t>Annex 3 – Manchester Adult Education Service’s </w:t>
      </w:r>
      <w:hyperlink r:id="rId77" w:history="1">
        <w:r w:rsidRPr="00F243DF">
          <w:rPr>
            <w:rStyle w:val="Hyperlink"/>
            <w:color w:val="auto"/>
            <w:u w:val="none"/>
          </w:rPr>
          <w:t>remote initial assessment processes</w:t>
        </w:r>
      </w:hyperlink>
      <w:r w:rsidRPr="00F243DF">
        <w:t> for pre-entry ESOL learners.</w:t>
      </w:r>
    </w:p>
    <w:p w14:paraId="05E8CD30" w14:textId="2CAC3BE0" w:rsidR="00A569BA" w:rsidRPr="00F243DF" w:rsidRDefault="00A569BA" w:rsidP="00F243DF">
      <w:pPr>
        <w:pStyle w:val="DANavybullet"/>
        <w:numPr>
          <w:ilvl w:val="0"/>
          <w:numId w:val="0"/>
        </w:numPr>
        <w:ind w:left="426" w:hanging="426"/>
        <w:rPr>
          <w:color w:val="666666"/>
        </w:rPr>
      </w:pPr>
    </w:p>
    <w:p w14:paraId="4F14543F" w14:textId="77777777" w:rsidR="00A569BA" w:rsidRPr="00F243DF" w:rsidRDefault="00A569BA" w:rsidP="00187AC4">
      <w:pPr>
        <w:pStyle w:val="Referencelink"/>
      </w:pPr>
      <w:r w:rsidRPr="00F243DF">
        <w:t>Case Studies</w:t>
      </w:r>
    </w:p>
    <w:p w14:paraId="59F0DC5D" w14:textId="15C58BBF" w:rsidR="00A569BA" w:rsidRDefault="00A569BA" w:rsidP="00A569BA">
      <w:pPr>
        <w:pStyle w:val="NormalWeb"/>
        <w:spacing w:before="0" w:beforeAutospacing="0" w:after="0" w:afterAutospacing="0"/>
        <w:textAlignment w:val="baseline"/>
        <w:rPr>
          <w:rFonts w:ascii="Arial" w:hAnsi="Arial" w:cs="Arial"/>
        </w:rPr>
      </w:pPr>
      <w:r w:rsidRPr="00F243DF">
        <w:rPr>
          <w:rFonts w:ascii="Arial" w:hAnsi="Arial" w:cs="Arial"/>
        </w:rPr>
        <w:t>Click on the below links to access case studies that are referenced within the guidance materials.</w:t>
      </w:r>
    </w:p>
    <w:p w14:paraId="568EEBA3" w14:textId="77777777" w:rsidR="00F243DF" w:rsidRPr="00F243DF" w:rsidRDefault="00F243DF" w:rsidP="00A569BA">
      <w:pPr>
        <w:pStyle w:val="NormalWeb"/>
        <w:spacing w:before="0" w:beforeAutospacing="0" w:after="0" w:afterAutospacing="0"/>
        <w:textAlignment w:val="baseline"/>
        <w:rPr>
          <w:rStyle w:val="FollowedHyperlink"/>
        </w:rPr>
      </w:pPr>
    </w:p>
    <w:p w14:paraId="0842AFB5" w14:textId="77777777" w:rsidR="00A569BA" w:rsidRPr="00F243DF" w:rsidRDefault="00A569BA" w:rsidP="00F243DF">
      <w:pPr>
        <w:pStyle w:val="DANavybullet"/>
        <w:numPr>
          <w:ilvl w:val="0"/>
          <w:numId w:val="13"/>
        </w:numPr>
      </w:pPr>
      <w:r w:rsidRPr="00F243DF">
        <w:t>Case study 1: </w:t>
      </w:r>
      <w:hyperlink r:id="rId78" w:history="1">
        <w:r w:rsidRPr="00F243DF">
          <w:rPr>
            <w:rStyle w:val="Hyperlink"/>
            <w:color w:val="2EA3F2"/>
            <w:bdr w:val="none" w:sz="0" w:space="0" w:color="auto" w:frame="1"/>
          </w:rPr>
          <w:t>Working with learners with low level digital skills in a remote learning setting</w:t>
        </w:r>
      </w:hyperlink>
    </w:p>
    <w:p w14:paraId="015B7705" w14:textId="77777777" w:rsidR="00A569BA" w:rsidRPr="00F243DF" w:rsidRDefault="00A569BA" w:rsidP="00F243DF">
      <w:pPr>
        <w:pStyle w:val="DANavybullet"/>
        <w:numPr>
          <w:ilvl w:val="0"/>
          <w:numId w:val="13"/>
        </w:numPr>
      </w:pPr>
      <w:r w:rsidRPr="00F243DF">
        <w:t>Case study 2: </w:t>
      </w:r>
      <w:hyperlink r:id="rId79" w:history="1">
        <w:r w:rsidRPr="00F243DF">
          <w:rPr>
            <w:rStyle w:val="Hyperlink"/>
            <w:color w:val="2EA3F2"/>
            <w:bdr w:val="none" w:sz="0" w:space="0" w:color="auto" w:frame="1"/>
          </w:rPr>
          <w:t>Engaging learners who have low confidence and low self-esteem to continue their learning during the lockdown period</w:t>
        </w:r>
      </w:hyperlink>
    </w:p>
    <w:p w14:paraId="2CF19A23" w14:textId="77777777" w:rsidR="00A569BA" w:rsidRPr="00F243DF" w:rsidRDefault="00A569BA" w:rsidP="00F243DF">
      <w:pPr>
        <w:pStyle w:val="DANavybullet"/>
        <w:numPr>
          <w:ilvl w:val="0"/>
          <w:numId w:val="13"/>
        </w:numPr>
      </w:pPr>
      <w:r w:rsidRPr="00F243DF">
        <w:t>Case study 3: </w:t>
      </w:r>
      <w:hyperlink r:id="rId80" w:history="1">
        <w:r w:rsidRPr="00F243DF">
          <w:rPr>
            <w:rStyle w:val="Hyperlink"/>
            <w:color w:val="2EA3F2"/>
            <w:bdr w:val="none" w:sz="0" w:space="0" w:color="auto" w:frame="1"/>
          </w:rPr>
          <w:t>Pre-entry and entry level ESOL for learners with limited digital skills</w:t>
        </w:r>
      </w:hyperlink>
    </w:p>
    <w:p w14:paraId="4BB307B5" w14:textId="77777777" w:rsidR="00A569BA" w:rsidRPr="00F243DF" w:rsidRDefault="00A569BA" w:rsidP="00F243DF">
      <w:pPr>
        <w:pStyle w:val="DANavybullet"/>
        <w:numPr>
          <w:ilvl w:val="0"/>
          <w:numId w:val="13"/>
        </w:numPr>
      </w:pPr>
      <w:r w:rsidRPr="00F243DF">
        <w:t>Case study 4: </w:t>
      </w:r>
      <w:hyperlink r:id="rId81" w:history="1">
        <w:r w:rsidRPr="00F243DF">
          <w:rPr>
            <w:rStyle w:val="Hyperlink"/>
            <w:color w:val="2EA3F2"/>
            <w:bdr w:val="none" w:sz="0" w:space="0" w:color="auto" w:frame="1"/>
          </w:rPr>
          <w:t>Engaging reluctant ESOL learners in online delivery sessions</w:t>
        </w:r>
      </w:hyperlink>
    </w:p>
    <w:p w14:paraId="2E3B8BAD" w14:textId="77777777" w:rsidR="00A569BA" w:rsidRPr="00F243DF" w:rsidRDefault="00A569BA" w:rsidP="00F243DF">
      <w:pPr>
        <w:pStyle w:val="DANavybullet"/>
        <w:numPr>
          <w:ilvl w:val="0"/>
          <w:numId w:val="13"/>
        </w:numPr>
      </w:pPr>
      <w:r w:rsidRPr="00F243DF">
        <w:t>Case study 5: </w:t>
      </w:r>
      <w:hyperlink r:id="rId82" w:history="1">
        <w:r w:rsidRPr="00F243DF">
          <w:rPr>
            <w:rStyle w:val="Hyperlink"/>
            <w:color w:val="2EA3F2"/>
            <w:bdr w:val="none" w:sz="0" w:space="0" w:color="auto" w:frame="1"/>
          </w:rPr>
          <w:t>Remote delivery of employment programme for learners with learning disabilities</w:t>
        </w:r>
      </w:hyperlink>
    </w:p>
    <w:p w14:paraId="3D6A30A2" w14:textId="77777777" w:rsidR="00A569BA" w:rsidRPr="00F243DF" w:rsidRDefault="00A569BA" w:rsidP="00F243DF">
      <w:pPr>
        <w:pStyle w:val="DANavybullet"/>
        <w:numPr>
          <w:ilvl w:val="0"/>
          <w:numId w:val="13"/>
        </w:numPr>
      </w:pPr>
      <w:r w:rsidRPr="00F243DF">
        <w:t>Case study 6: </w:t>
      </w:r>
      <w:hyperlink r:id="rId83" w:history="1">
        <w:r w:rsidRPr="00F243DF">
          <w:rPr>
            <w:rStyle w:val="Hyperlink"/>
            <w:color w:val="2EA3F2"/>
            <w:bdr w:val="none" w:sz="0" w:space="0" w:color="auto" w:frame="1"/>
          </w:rPr>
          <w:t>Delivery of online learning</w:t>
        </w:r>
        <w:r w:rsidRPr="00F243DF">
          <w:rPr>
            <w:rStyle w:val="Hyperlink"/>
            <w:color w:val="2EA3F2"/>
            <w:bdr w:val="none" w:sz="0" w:space="0" w:color="auto" w:frame="1"/>
          </w:rPr>
          <w:t xml:space="preserve"> </w:t>
        </w:r>
        <w:r w:rsidRPr="00F243DF">
          <w:rPr>
            <w:rStyle w:val="Hyperlink"/>
            <w:color w:val="2EA3F2"/>
            <w:bdr w:val="none" w:sz="0" w:space="0" w:color="auto" w:frame="1"/>
          </w:rPr>
          <w:t>to </w:t>
        </w:r>
        <w:r w:rsidRPr="00F243DF">
          <w:rPr>
            <w:rStyle w:val="Hyperlink"/>
            <w:b/>
            <w:bCs/>
            <w:color w:val="2EA3F2"/>
          </w:rPr>
          <w:t>ESOL, Literacy and Maths</w:t>
        </w:r>
        <w:r w:rsidRPr="00F243DF">
          <w:rPr>
            <w:rStyle w:val="Hyperlink"/>
            <w:color w:val="2EA3F2"/>
            <w:bdr w:val="none" w:sz="0" w:space="0" w:color="auto" w:frame="1"/>
          </w:rPr>
          <w:t> basic skills</w:t>
        </w:r>
      </w:hyperlink>
    </w:p>
    <w:p w14:paraId="2DD886F4" w14:textId="77777777" w:rsidR="00A569BA" w:rsidRPr="00F243DF" w:rsidRDefault="00A569BA" w:rsidP="00F243DF">
      <w:pPr>
        <w:pStyle w:val="DANavybullet"/>
        <w:numPr>
          <w:ilvl w:val="0"/>
          <w:numId w:val="13"/>
        </w:numPr>
      </w:pPr>
      <w:r w:rsidRPr="00F243DF">
        <w:t>Case study 7: </w:t>
      </w:r>
      <w:hyperlink r:id="rId84" w:history="1">
        <w:r w:rsidRPr="00F243DF">
          <w:rPr>
            <w:rStyle w:val="Hyperlink"/>
            <w:color w:val="2EA3F2"/>
            <w:bdr w:val="none" w:sz="0" w:space="0" w:color="auto" w:frame="1"/>
          </w:rPr>
          <w:t>Virtual creative arts delivery</w:t>
        </w:r>
      </w:hyperlink>
    </w:p>
    <w:p w14:paraId="66BDF8C8" w14:textId="77777777" w:rsidR="00A569BA" w:rsidRPr="00F243DF" w:rsidRDefault="00A569BA" w:rsidP="00F243DF">
      <w:pPr>
        <w:pStyle w:val="DANavybullet"/>
        <w:numPr>
          <w:ilvl w:val="0"/>
          <w:numId w:val="13"/>
        </w:numPr>
      </w:pPr>
      <w:r w:rsidRPr="00F243DF">
        <w:t>Case study 8: </w:t>
      </w:r>
      <w:hyperlink r:id="rId85" w:history="1">
        <w:r w:rsidRPr="00F243DF">
          <w:rPr>
            <w:rStyle w:val="Hyperlink"/>
            <w:color w:val="2EA3F2"/>
            <w:bdr w:val="none" w:sz="0" w:space="0" w:color="auto" w:frame="1"/>
          </w:rPr>
          <w:t>Online delivery to entry and pre-entry low skilled learners with low level digital skills</w:t>
        </w:r>
      </w:hyperlink>
    </w:p>
    <w:p w14:paraId="20FE0F10" w14:textId="77777777" w:rsidR="00A569BA" w:rsidRPr="00F243DF" w:rsidRDefault="00A569BA" w:rsidP="00F243DF">
      <w:pPr>
        <w:pStyle w:val="DANavybullet"/>
        <w:numPr>
          <w:ilvl w:val="0"/>
          <w:numId w:val="13"/>
        </w:numPr>
      </w:pPr>
      <w:r w:rsidRPr="00F243DF">
        <w:t>Case study 9: </w:t>
      </w:r>
      <w:hyperlink r:id="rId86" w:history="1">
        <w:r w:rsidRPr="00F243DF">
          <w:rPr>
            <w:rStyle w:val="Hyperlink"/>
            <w:color w:val="2EA3F2"/>
            <w:bdr w:val="none" w:sz="0" w:space="0" w:color="auto" w:frame="1"/>
          </w:rPr>
          <w:t>Using Zoom and Canvas with Entry and Pre-Entry ESOL learners</w:t>
        </w:r>
      </w:hyperlink>
    </w:p>
    <w:p w14:paraId="3155FB9D" w14:textId="3B0A8E1D" w:rsidR="00A569BA" w:rsidRPr="00187AC4" w:rsidRDefault="00A569BA" w:rsidP="00187AC4">
      <w:pPr>
        <w:pStyle w:val="DigitalACEheading"/>
      </w:pPr>
      <w:hyperlink r:id="rId87" w:history="1">
        <w:r w:rsidRPr="00187AC4">
          <w:rPr>
            <w:rStyle w:val="Hyperlink"/>
            <w:color w:val="2A2853"/>
            <w:u w:val="none"/>
          </w:rPr>
          <w:t>Underpinning Technology</w:t>
        </w:r>
      </w:hyperlink>
      <w:r w:rsidRPr="00187AC4">
        <w:t xml:space="preserve"> Guidance Materials</w:t>
      </w:r>
    </w:p>
    <w:p w14:paraId="57923629" w14:textId="60985A49" w:rsidR="00187AC4" w:rsidRDefault="00187AC4" w:rsidP="00187AC4">
      <w:pPr>
        <w:pStyle w:val="Referencelink"/>
        <w:rPr>
          <w:rFonts w:eastAsia="Times New Roman"/>
          <w:color w:val="666666"/>
          <w:kern w:val="36"/>
          <w:sz w:val="45"/>
          <w:szCs w:val="45"/>
          <w:lang w:eastAsia="en-GB"/>
        </w:rPr>
      </w:pPr>
      <w:r>
        <w:t xml:space="preserve">Underpinning Technology Guidance </w:t>
      </w:r>
      <w:hyperlink r:id="rId88" w:history="1">
        <w:r w:rsidRPr="00187AC4">
          <w:rPr>
            <w:rStyle w:val="Hyperlink"/>
          </w:rPr>
          <w:t>page</w:t>
        </w:r>
      </w:hyperlink>
    </w:p>
    <w:p w14:paraId="3E0F631B" w14:textId="3915BC87" w:rsidR="00187AC4" w:rsidRPr="00187AC4" w:rsidRDefault="00187AC4" w:rsidP="00187AC4">
      <w:pPr>
        <w:shd w:val="clear" w:color="auto" w:fill="FFFFFF"/>
        <w:spacing w:after="0" w:line="240" w:lineRule="auto"/>
        <w:textAlignment w:val="baseline"/>
        <w:rPr>
          <w:rFonts w:ascii="Arial" w:eastAsia="Times New Roman" w:hAnsi="Arial" w:cs="Arial"/>
          <w:sz w:val="24"/>
          <w:szCs w:val="24"/>
          <w:lang w:eastAsia="en-GB"/>
        </w:rPr>
      </w:pPr>
      <w:r w:rsidRPr="00187AC4">
        <w:rPr>
          <w:rFonts w:ascii="Arial" w:eastAsia="Times New Roman" w:hAnsi="Arial" w:cs="Arial"/>
          <w:sz w:val="24"/>
          <w:szCs w:val="24"/>
          <w:lang w:eastAsia="en-GB"/>
        </w:rPr>
        <w:t>Our Digital ACE Underpinning Technologies guidance materials aim to supply providers with enough information to get started on developing a digital offer and to support those who have already started in creating a more sustainable technological base.</w:t>
      </w:r>
      <w:r>
        <w:rPr>
          <w:rFonts w:ascii="Arial" w:eastAsia="Times New Roman" w:hAnsi="Arial" w:cs="Arial"/>
          <w:sz w:val="24"/>
          <w:szCs w:val="24"/>
          <w:lang w:eastAsia="en-GB"/>
        </w:rPr>
        <w:t xml:space="preserve"> </w:t>
      </w:r>
      <w:r w:rsidRPr="00187AC4">
        <w:rPr>
          <w:rFonts w:ascii="Arial" w:eastAsia="Times New Roman" w:hAnsi="Arial" w:cs="Arial"/>
          <w:sz w:val="24"/>
          <w:szCs w:val="24"/>
          <w:lang w:eastAsia="en-GB"/>
        </w:rPr>
        <w:t>The guidance also provides links to more in-depth technical critiques of systems and signposts to good systems.</w:t>
      </w:r>
    </w:p>
    <w:p w14:paraId="756F28B3" w14:textId="77777777" w:rsidR="00187AC4" w:rsidRDefault="00187AC4" w:rsidP="00187AC4">
      <w:pPr>
        <w:pStyle w:val="Referencelink"/>
      </w:pPr>
    </w:p>
    <w:p w14:paraId="5CF65E84" w14:textId="4FCC8DF7" w:rsidR="00187AC4" w:rsidRPr="00187AC4" w:rsidRDefault="00187AC4" w:rsidP="00187AC4">
      <w:pPr>
        <w:pStyle w:val="Referencelink"/>
      </w:pPr>
      <w:r w:rsidRPr="00187AC4">
        <w:t xml:space="preserve">Underpinning Technology Guidance Document </w:t>
      </w:r>
    </w:p>
    <w:p w14:paraId="318E7F2F" w14:textId="77777777" w:rsidR="00187AC4" w:rsidRDefault="00187AC4" w:rsidP="00187AC4">
      <w:pPr>
        <w:pStyle w:val="DANavybullet"/>
        <w:numPr>
          <w:ilvl w:val="0"/>
          <w:numId w:val="27"/>
        </w:numPr>
      </w:pPr>
      <w:r>
        <w:t>Click to download our Underpinning Technology guidance materials as a Word document </w:t>
      </w:r>
      <w:hyperlink r:id="rId89" w:history="1">
        <w:r w:rsidRPr="00187AC4">
          <w:rPr>
            <w:rStyle w:val="Hyperlink"/>
            <w:color w:val="2EA3F2"/>
            <w:u w:val="none"/>
            <w:bdr w:val="none" w:sz="0" w:space="0" w:color="auto" w:frame="1"/>
          </w:rPr>
          <w:t>here</w:t>
        </w:r>
      </w:hyperlink>
      <w:r>
        <w:t>.</w:t>
      </w:r>
    </w:p>
    <w:p w14:paraId="42B1ED9D" w14:textId="77777777" w:rsidR="00187AC4" w:rsidRDefault="00187AC4" w:rsidP="00187AC4">
      <w:pPr>
        <w:pStyle w:val="DANavybullet"/>
        <w:numPr>
          <w:ilvl w:val="0"/>
          <w:numId w:val="27"/>
        </w:numPr>
      </w:pPr>
      <w:r>
        <w:t>Alternatively, you can view a pdf version of the Underpinning Technology guidance materials </w:t>
      </w:r>
      <w:hyperlink r:id="rId90" w:history="1">
        <w:r w:rsidRPr="00187AC4">
          <w:rPr>
            <w:rStyle w:val="Hyperlink"/>
            <w:color w:val="2EA3F2"/>
            <w:u w:val="none"/>
            <w:bdr w:val="none" w:sz="0" w:space="0" w:color="auto" w:frame="1"/>
          </w:rPr>
          <w:t>here</w:t>
        </w:r>
      </w:hyperlink>
      <w:r w:rsidRPr="00187AC4">
        <w:t>.</w:t>
      </w:r>
      <w:r w:rsidRPr="00187AC4">
        <w:rPr>
          <w:bdr w:val="none" w:sz="0" w:space="0" w:color="auto" w:frame="1"/>
        </w:rPr>
        <w:t> Note that the hyperlinks won’t work in this pdf version.</w:t>
      </w:r>
    </w:p>
    <w:p w14:paraId="1E0E5A05" w14:textId="4AA272A7" w:rsidR="00A569BA" w:rsidRPr="00A569BA" w:rsidRDefault="00A569BA" w:rsidP="00187AC4">
      <w:pPr>
        <w:pStyle w:val="Referencelink"/>
        <w:rPr>
          <w:lang w:eastAsia="en-GB"/>
        </w:rPr>
      </w:pPr>
      <w:r w:rsidRPr="00A569BA">
        <w:rPr>
          <w:lang w:eastAsia="en-GB"/>
        </w:rPr>
        <w:t>Annexes</w:t>
      </w:r>
    </w:p>
    <w:p w14:paraId="27A027D7" w14:textId="77777777" w:rsidR="00A569BA" w:rsidRPr="00A569BA" w:rsidRDefault="00A569BA" w:rsidP="00A569BA">
      <w:pPr>
        <w:spacing w:after="0" w:line="240" w:lineRule="auto"/>
        <w:textAlignment w:val="baseline"/>
        <w:rPr>
          <w:rFonts w:ascii="Arial" w:eastAsia="Times New Roman" w:hAnsi="Arial" w:cs="Arial"/>
          <w:sz w:val="24"/>
          <w:szCs w:val="24"/>
          <w:lang w:eastAsia="en-GB"/>
        </w:rPr>
      </w:pPr>
      <w:r w:rsidRPr="00A569BA">
        <w:rPr>
          <w:rFonts w:ascii="Arial" w:eastAsia="Times New Roman" w:hAnsi="Arial" w:cs="Arial"/>
          <w:sz w:val="24"/>
          <w:szCs w:val="24"/>
          <w:lang w:eastAsia="en-GB"/>
        </w:rPr>
        <w:t>Click on the below links to download our customisable annexes. These are available for you to ‘adopt and adapt’.</w:t>
      </w:r>
    </w:p>
    <w:p w14:paraId="46253B85" w14:textId="77777777" w:rsidR="00A569BA" w:rsidRPr="00A569BA" w:rsidRDefault="00A569BA" w:rsidP="00187AC4">
      <w:pPr>
        <w:pStyle w:val="DANavybullet"/>
        <w:numPr>
          <w:ilvl w:val="0"/>
          <w:numId w:val="26"/>
        </w:numPr>
      </w:pPr>
      <w:r w:rsidRPr="00A569BA">
        <w:t>Annex 1 – </w:t>
      </w:r>
      <w:hyperlink r:id="rId91" w:history="1">
        <w:r w:rsidRPr="00A569BA">
          <w:rPr>
            <w:color w:val="2EA3F2"/>
            <w:u w:val="single"/>
            <w:bdr w:val="none" w:sz="0" w:space="0" w:color="auto" w:frame="1"/>
          </w:rPr>
          <w:t>Learning Technology Evaluation TEMPLATE</w:t>
        </w:r>
      </w:hyperlink>
    </w:p>
    <w:p w14:paraId="1D69440C" w14:textId="77777777" w:rsidR="00A569BA" w:rsidRPr="00A569BA" w:rsidRDefault="00A569BA" w:rsidP="00187AC4">
      <w:pPr>
        <w:pStyle w:val="DANavybullet"/>
        <w:numPr>
          <w:ilvl w:val="0"/>
          <w:numId w:val="26"/>
        </w:numPr>
      </w:pPr>
      <w:r w:rsidRPr="00A569BA">
        <w:t>Annex 2 – </w:t>
      </w:r>
      <w:hyperlink r:id="rId92" w:history="1">
        <w:r w:rsidRPr="00A569BA">
          <w:rPr>
            <w:color w:val="2EA3F2"/>
            <w:u w:val="single"/>
            <w:bdr w:val="none" w:sz="0" w:space="0" w:color="auto" w:frame="1"/>
          </w:rPr>
          <w:t>How to Guide for learners (</w:t>
        </w:r>
        <w:proofErr w:type="spellStart"/>
        <w:r w:rsidRPr="00A569BA">
          <w:rPr>
            <w:color w:val="2EA3F2"/>
            <w:u w:val="single"/>
            <w:bdr w:val="none" w:sz="0" w:space="0" w:color="auto" w:frame="1"/>
          </w:rPr>
          <w:t>GSuite</w:t>
        </w:r>
        <w:proofErr w:type="spellEnd"/>
        <w:r w:rsidRPr="00A569BA">
          <w:rPr>
            <w:color w:val="2EA3F2"/>
            <w:u w:val="single"/>
            <w:bdr w:val="none" w:sz="0" w:space="0" w:color="auto" w:frame="1"/>
          </w:rPr>
          <w:t xml:space="preserve"> for Education)</w:t>
        </w:r>
      </w:hyperlink>
    </w:p>
    <w:p w14:paraId="6A6434F5" w14:textId="77777777" w:rsidR="00A569BA" w:rsidRPr="00A569BA" w:rsidRDefault="00A569BA" w:rsidP="00187AC4">
      <w:pPr>
        <w:pStyle w:val="DANavybullet"/>
        <w:numPr>
          <w:ilvl w:val="0"/>
          <w:numId w:val="26"/>
        </w:numPr>
      </w:pPr>
      <w:r w:rsidRPr="00A569BA">
        <w:t>Annex 3 – </w:t>
      </w:r>
      <w:hyperlink r:id="rId93" w:history="1">
        <w:r w:rsidRPr="00A569BA">
          <w:rPr>
            <w:color w:val="2EA3F2"/>
            <w:u w:val="single"/>
            <w:bdr w:val="none" w:sz="0" w:space="0" w:color="auto" w:frame="1"/>
          </w:rPr>
          <w:t>How to download a Word document (Google classroom)</w:t>
        </w:r>
      </w:hyperlink>
    </w:p>
    <w:p w14:paraId="2150887A" w14:textId="77777777" w:rsidR="00A569BA" w:rsidRPr="00A569BA" w:rsidRDefault="00A569BA" w:rsidP="00187AC4">
      <w:pPr>
        <w:pStyle w:val="DANavybullet"/>
        <w:numPr>
          <w:ilvl w:val="0"/>
          <w:numId w:val="26"/>
        </w:numPr>
      </w:pPr>
      <w:r w:rsidRPr="00A569BA">
        <w:t>Annex 4 – </w:t>
      </w:r>
      <w:hyperlink r:id="rId94" w:history="1">
        <w:r w:rsidRPr="00A569BA">
          <w:rPr>
            <w:color w:val="2EA3F2"/>
            <w:u w:val="single"/>
            <w:bdr w:val="none" w:sz="0" w:space="0" w:color="auto" w:frame="1"/>
          </w:rPr>
          <w:t xml:space="preserve">Example resources from </w:t>
        </w:r>
        <w:proofErr w:type="spellStart"/>
        <w:r w:rsidRPr="00A569BA">
          <w:rPr>
            <w:color w:val="2EA3F2"/>
            <w:u w:val="single"/>
            <w:bdr w:val="none" w:sz="0" w:space="0" w:color="auto" w:frame="1"/>
          </w:rPr>
          <w:t>GSuite</w:t>
        </w:r>
        <w:proofErr w:type="spellEnd"/>
        <w:r w:rsidRPr="00A569BA">
          <w:rPr>
            <w:color w:val="2EA3F2"/>
            <w:u w:val="single"/>
            <w:bdr w:val="none" w:sz="0" w:space="0" w:color="auto" w:frame="1"/>
          </w:rPr>
          <w:t xml:space="preserve"> for Education</w:t>
        </w:r>
      </w:hyperlink>
    </w:p>
    <w:p w14:paraId="29907242" w14:textId="77777777" w:rsidR="00A569BA" w:rsidRPr="00A569BA" w:rsidRDefault="00A569BA" w:rsidP="00187AC4">
      <w:pPr>
        <w:pStyle w:val="DANavybullet"/>
        <w:numPr>
          <w:ilvl w:val="0"/>
          <w:numId w:val="26"/>
        </w:numPr>
      </w:pPr>
      <w:r w:rsidRPr="00A569BA">
        <w:t>Annex 5 – </w:t>
      </w:r>
      <w:hyperlink r:id="rId95" w:history="1">
        <w:r w:rsidRPr="00A569BA">
          <w:rPr>
            <w:color w:val="2EA3F2"/>
            <w:u w:val="single"/>
            <w:bdr w:val="none" w:sz="0" w:space="0" w:color="auto" w:frame="1"/>
          </w:rPr>
          <w:t>Kingston – Equipment loan Use agreement – TEMPLATE</w:t>
        </w:r>
      </w:hyperlink>
    </w:p>
    <w:p w14:paraId="7A049407" w14:textId="642E6200" w:rsidR="00A569BA" w:rsidRPr="00187AC4" w:rsidRDefault="00A569BA">
      <w:pPr>
        <w:rPr>
          <w:sz w:val="24"/>
          <w:szCs w:val="24"/>
        </w:rPr>
      </w:pPr>
    </w:p>
    <w:p w14:paraId="62727EB4" w14:textId="5D739E06" w:rsidR="00A569BA" w:rsidRDefault="00A569BA"/>
    <w:p w14:paraId="378235D4" w14:textId="1957E434" w:rsidR="00A569BA" w:rsidRDefault="00A569BA"/>
    <w:p w14:paraId="5BDA5EBA" w14:textId="0C605544" w:rsidR="00A569BA" w:rsidRDefault="00A569BA"/>
    <w:p w14:paraId="66B3D6B6" w14:textId="1C40E91F" w:rsidR="00D93649" w:rsidRDefault="00D93649"/>
    <w:p w14:paraId="013C1E69" w14:textId="7A6754F1" w:rsidR="00D93649" w:rsidRDefault="00D93649"/>
    <w:p w14:paraId="6932A799" w14:textId="57547C4F" w:rsidR="00D93649" w:rsidRDefault="00D93649"/>
    <w:p w14:paraId="5F31D9D5" w14:textId="167EB93E" w:rsidR="00D93649" w:rsidRDefault="00D93649"/>
    <w:p w14:paraId="1695327A" w14:textId="74BE3993" w:rsidR="00D93649" w:rsidRDefault="00D93649"/>
    <w:p w14:paraId="40B3B2A4" w14:textId="48D90955" w:rsidR="00D93649" w:rsidRDefault="00D93649"/>
    <w:p w14:paraId="4947CDDB" w14:textId="62B12B70" w:rsidR="00D93649" w:rsidRDefault="00D93649"/>
    <w:p w14:paraId="41DC6292" w14:textId="3EBE50AF" w:rsidR="00D93649" w:rsidRDefault="00D93649"/>
    <w:p w14:paraId="262A14A7" w14:textId="376724A8" w:rsidR="00D93649" w:rsidRDefault="00D93649"/>
    <w:p w14:paraId="0AF620A5" w14:textId="1F4F04BA" w:rsidR="00D93649" w:rsidRDefault="00D93649"/>
    <w:p w14:paraId="3575228C" w14:textId="69BB1991" w:rsidR="00D93649" w:rsidRDefault="00D93649"/>
    <w:p w14:paraId="49D0BF2B" w14:textId="2CC55CED" w:rsidR="00D93649" w:rsidRDefault="00D93649"/>
    <w:bookmarkStart w:id="0" w:name="_Hlk61707971"/>
    <w:p w14:paraId="044709ED" w14:textId="77777777" w:rsidR="00D93649" w:rsidRPr="00D93649" w:rsidRDefault="00D93649" w:rsidP="00D93649">
      <w:pPr>
        <w:pStyle w:val="DigitalACEheading"/>
      </w:pPr>
      <w:r w:rsidRPr="00D93649">
        <w:lastRenderedPageBreak/>
        <w:fldChar w:fldCharType="begin"/>
      </w:r>
      <w:r w:rsidRPr="00D93649">
        <w:instrText xml:space="preserve"> HYPERLINK "https://holex.org.uk/wp-content/uploads/2020/11/Digital-ACE-Top-tips.docx" </w:instrText>
      </w:r>
      <w:r w:rsidRPr="00D93649">
        <w:fldChar w:fldCharType="separate"/>
      </w:r>
      <w:r w:rsidRPr="00D93649">
        <w:rPr>
          <w:rStyle w:val="Hyperlink"/>
          <w:color w:val="2A2853"/>
          <w:u w:val="none"/>
        </w:rPr>
        <w:t>Digital ACE Top Tips</w:t>
      </w:r>
      <w:r w:rsidRPr="00D93649">
        <w:fldChar w:fldCharType="end"/>
      </w:r>
    </w:p>
    <w:p w14:paraId="2CE6DCAC" w14:textId="77777777" w:rsidR="00D93649" w:rsidRPr="00D93649" w:rsidRDefault="00D93649" w:rsidP="00D93649">
      <w:pPr>
        <w:pStyle w:val="NormalWeb"/>
        <w:spacing w:before="0" w:beforeAutospacing="0" w:after="0" w:afterAutospacing="0"/>
        <w:textAlignment w:val="baseline"/>
        <w:rPr>
          <w:rFonts w:ascii="Arial" w:hAnsi="Arial" w:cs="Arial"/>
        </w:rPr>
      </w:pPr>
      <w:r w:rsidRPr="00D93649">
        <w:rPr>
          <w:rFonts w:ascii="Arial" w:hAnsi="Arial" w:cs="Arial"/>
        </w:rPr>
        <w:t>For each of the project strands, we compiled the Top Ten tips from the sector for the sector.</w:t>
      </w:r>
    </w:p>
    <w:p w14:paraId="2FAC76E5" w14:textId="77777777" w:rsidR="00D93649" w:rsidRPr="00D93649" w:rsidRDefault="00D93649" w:rsidP="00D93649">
      <w:pPr>
        <w:pStyle w:val="NormalWeb"/>
        <w:spacing w:before="0" w:beforeAutospacing="0" w:after="0" w:afterAutospacing="0"/>
        <w:textAlignment w:val="baseline"/>
        <w:rPr>
          <w:rFonts w:ascii="Arial" w:hAnsi="Arial" w:cs="Arial"/>
        </w:rPr>
      </w:pPr>
      <w:r w:rsidRPr="00D93649">
        <w:rPr>
          <w:rFonts w:ascii="Arial" w:hAnsi="Arial" w:cs="Arial"/>
        </w:rPr>
        <w:t>Access a summary of our Top Tips </w:t>
      </w:r>
      <w:hyperlink r:id="rId96" w:history="1">
        <w:r w:rsidRPr="00D93649">
          <w:rPr>
            <w:rStyle w:val="Hyperlink"/>
            <w:rFonts w:ascii="Arial" w:hAnsi="Arial" w:cs="Arial"/>
            <w:bdr w:val="none" w:sz="0" w:space="0" w:color="auto" w:frame="1"/>
          </w:rPr>
          <w:t>here</w:t>
        </w:r>
      </w:hyperlink>
      <w:r w:rsidRPr="00D93649">
        <w:rPr>
          <w:rFonts w:ascii="Arial" w:hAnsi="Arial" w:cs="Arial"/>
        </w:rPr>
        <w:t>.</w:t>
      </w:r>
    </w:p>
    <w:bookmarkEnd w:id="0"/>
    <w:p w14:paraId="62C9A3EA" w14:textId="6CA235C6" w:rsidR="00D93649" w:rsidRPr="00D93649" w:rsidRDefault="00D93649">
      <w:pPr>
        <w:rPr>
          <w:sz w:val="24"/>
          <w:szCs w:val="24"/>
        </w:rPr>
      </w:pPr>
    </w:p>
    <w:p w14:paraId="25F5F11B" w14:textId="3893F29E" w:rsidR="00D93649" w:rsidRDefault="00D93649" w:rsidP="00D93649">
      <w:pPr>
        <w:jc w:val="center"/>
      </w:pPr>
      <w:r>
        <w:rPr>
          <w:rFonts w:ascii="Arial" w:hAnsi="Arial" w:cs="Arial"/>
          <w:noProof/>
          <w:color w:val="2EA3F2"/>
          <w:sz w:val="21"/>
          <w:szCs w:val="21"/>
          <w:bdr w:val="none" w:sz="0" w:space="0" w:color="auto" w:frame="1"/>
        </w:rPr>
        <w:drawing>
          <wp:inline distT="0" distB="0" distL="0" distR="0" wp14:anchorId="1ECF7775" wp14:editId="782A5DAC">
            <wp:extent cx="3859530" cy="3164678"/>
            <wp:effectExtent l="0" t="0" r="7620" b="0"/>
            <wp:docPr id="1" name="Picture 1">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881755" cy="3182902"/>
                    </a:xfrm>
                    <a:prstGeom prst="rect">
                      <a:avLst/>
                    </a:prstGeom>
                    <a:noFill/>
                    <a:ln>
                      <a:noFill/>
                    </a:ln>
                  </pic:spPr>
                </pic:pic>
              </a:graphicData>
            </a:graphic>
          </wp:inline>
        </w:drawing>
      </w:r>
    </w:p>
    <w:sectPr w:rsidR="00D93649" w:rsidSect="002C7EEA">
      <w:footerReference w:type="default" r:id="rId98"/>
      <w:pgSz w:w="11906" w:h="16838"/>
      <w:pgMar w:top="1135" w:right="1440" w:bottom="851" w:left="1440"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97A85" w14:textId="77777777" w:rsidR="00562F03" w:rsidRDefault="00562F03" w:rsidP="00F243DF">
      <w:pPr>
        <w:spacing w:after="0" w:line="240" w:lineRule="auto"/>
      </w:pPr>
      <w:r>
        <w:separator/>
      </w:r>
    </w:p>
  </w:endnote>
  <w:endnote w:type="continuationSeparator" w:id="0">
    <w:p w14:paraId="5CE4635E" w14:textId="77777777" w:rsidR="00562F03" w:rsidRDefault="00562F03" w:rsidP="00F2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4700214"/>
      <w:docPartObj>
        <w:docPartGallery w:val="Page Numbers (Bottom of Page)"/>
        <w:docPartUnique/>
      </w:docPartObj>
    </w:sdtPr>
    <w:sdtEndPr>
      <w:rPr>
        <w:noProof/>
      </w:rPr>
    </w:sdtEndPr>
    <w:sdtContent>
      <w:p w14:paraId="063DE39E" w14:textId="50E4E8C8" w:rsidR="00D93649" w:rsidRDefault="00D936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B49C24" w14:textId="77777777" w:rsidR="00D93649" w:rsidRDefault="00D93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DB756" w14:textId="77777777" w:rsidR="00562F03" w:rsidRDefault="00562F03" w:rsidP="00F243DF">
      <w:pPr>
        <w:spacing w:after="0" w:line="240" w:lineRule="auto"/>
      </w:pPr>
      <w:r>
        <w:separator/>
      </w:r>
    </w:p>
  </w:footnote>
  <w:footnote w:type="continuationSeparator" w:id="0">
    <w:p w14:paraId="7A1D3A8D" w14:textId="77777777" w:rsidR="00562F03" w:rsidRDefault="00562F03" w:rsidP="00F24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EA6A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4A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BE2B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10CD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369E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36AB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7A62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CE2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084C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E28B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F5D85"/>
    <w:multiLevelType w:val="hybridMultilevel"/>
    <w:tmpl w:val="F4BC7B32"/>
    <w:lvl w:ilvl="0" w:tplc="4FC2209C">
      <w:start w:val="1"/>
      <w:numFmt w:val="bullet"/>
      <w:lvlText w:val=""/>
      <w:lvlJc w:val="left"/>
      <w:pPr>
        <w:ind w:left="720" w:hanging="360"/>
      </w:pPr>
      <w:rPr>
        <w:rFonts w:ascii="Wingdings" w:hAnsi="Wingdings" w:hint="default"/>
        <w:color w:val="5FD0D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7802F6"/>
    <w:multiLevelType w:val="hybridMultilevel"/>
    <w:tmpl w:val="9962CD9E"/>
    <w:lvl w:ilvl="0" w:tplc="4FC2209C">
      <w:start w:val="1"/>
      <w:numFmt w:val="bullet"/>
      <w:lvlText w:val=""/>
      <w:lvlJc w:val="left"/>
      <w:pPr>
        <w:ind w:left="720" w:hanging="360"/>
      </w:pPr>
      <w:rPr>
        <w:rFonts w:ascii="Wingdings" w:hAnsi="Wingdings" w:hint="default"/>
        <w:color w:val="5FD0D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DB5FA8"/>
    <w:multiLevelType w:val="hybridMultilevel"/>
    <w:tmpl w:val="D56C3468"/>
    <w:lvl w:ilvl="0" w:tplc="4FC2209C">
      <w:start w:val="1"/>
      <w:numFmt w:val="bullet"/>
      <w:lvlText w:val=""/>
      <w:lvlJc w:val="left"/>
      <w:pPr>
        <w:ind w:left="720" w:hanging="360"/>
      </w:pPr>
      <w:rPr>
        <w:rFonts w:ascii="Wingdings" w:hAnsi="Wingdings" w:hint="default"/>
        <w:color w:val="5FD0D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401A62"/>
    <w:multiLevelType w:val="hybridMultilevel"/>
    <w:tmpl w:val="C922CA3A"/>
    <w:lvl w:ilvl="0" w:tplc="4FC2209C">
      <w:start w:val="1"/>
      <w:numFmt w:val="bullet"/>
      <w:lvlText w:val=""/>
      <w:lvlJc w:val="left"/>
      <w:pPr>
        <w:ind w:left="720" w:hanging="360"/>
      </w:pPr>
      <w:rPr>
        <w:rFonts w:ascii="Wingdings" w:hAnsi="Wingdings" w:hint="default"/>
        <w:color w:val="5FD0D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CC4D99"/>
    <w:multiLevelType w:val="hybridMultilevel"/>
    <w:tmpl w:val="746A913C"/>
    <w:lvl w:ilvl="0" w:tplc="4FC2209C">
      <w:start w:val="1"/>
      <w:numFmt w:val="bullet"/>
      <w:lvlText w:val=""/>
      <w:lvlJc w:val="left"/>
      <w:pPr>
        <w:ind w:left="720" w:hanging="360"/>
      </w:pPr>
      <w:rPr>
        <w:rFonts w:ascii="Wingdings" w:hAnsi="Wingdings" w:hint="default"/>
        <w:color w:val="5FD0D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9109B1"/>
    <w:multiLevelType w:val="multilevel"/>
    <w:tmpl w:val="E8B89FC8"/>
    <w:lvl w:ilvl="0">
      <w:start w:val="1"/>
      <w:numFmt w:val="decimal"/>
      <w:pStyle w:val="DigitalACEheading"/>
      <w:lvlText w:val="%1."/>
      <w:lvlJc w:val="left"/>
      <w:pPr>
        <w:ind w:left="360" w:hanging="360"/>
      </w:pPr>
    </w:lvl>
    <w:lvl w:ilvl="1">
      <w:start w:val="1"/>
      <w:numFmt w:val="decimal"/>
      <w:pStyle w:val="DigitalACEsub"/>
      <w:lvlText w:val="%1.%2."/>
      <w:lvlJc w:val="left"/>
      <w:pPr>
        <w:ind w:left="792" w:hanging="432"/>
      </w:pPr>
    </w:lvl>
    <w:lvl w:ilvl="2">
      <w:start w:val="1"/>
      <w:numFmt w:val="decimal"/>
      <w:pStyle w:val="DigitalACEsub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AB0F90"/>
    <w:multiLevelType w:val="hybridMultilevel"/>
    <w:tmpl w:val="74A8BC5C"/>
    <w:lvl w:ilvl="0" w:tplc="4FC2209C">
      <w:start w:val="1"/>
      <w:numFmt w:val="bullet"/>
      <w:lvlText w:val=""/>
      <w:lvlJc w:val="left"/>
      <w:pPr>
        <w:ind w:left="720" w:hanging="360"/>
      </w:pPr>
      <w:rPr>
        <w:rFonts w:ascii="Wingdings" w:hAnsi="Wingdings" w:hint="default"/>
        <w:color w:val="5FD0D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351C3"/>
    <w:multiLevelType w:val="hybridMultilevel"/>
    <w:tmpl w:val="B384667C"/>
    <w:lvl w:ilvl="0" w:tplc="4FC2209C">
      <w:start w:val="1"/>
      <w:numFmt w:val="bullet"/>
      <w:lvlText w:val=""/>
      <w:lvlJc w:val="left"/>
      <w:pPr>
        <w:ind w:left="720" w:hanging="360"/>
      </w:pPr>
      <w:rPr>
        <w:rFonts w:ascii="Wingdings" w:hAnsi="Wingdings" w:hint="default"/>
        <w:color w:val="5FD0D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37BFE"/>
    <w:multiLevelType w:val="hybridMultilevel"/>
    <w:tmpl w:val="1902A24C"/>
    <w:lvl w:ilvl="0" w:tplc="4FC2209C">
      <w:start w:val="1"/>
      <w:numFmt w:val="bullet"/>
      <w:lvlText w:val=""/>
      <w:lvlJc w:val="left"/>
      <w:pPr>
        <w:ind w:left="720" w:hanging="360"/>
      </w:pPr>
      <w:rPr>
        <w:rFonts w:ascii="Wingdings" w:hAnsi="Wingdings" w:hint="default"/>
        <w:color w:val="5FD0D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F6B61"/>
    <w:multiLevelType w:val="hybridMultilevel"/>
    <w:tmpl w:val="67DA9FAA"/>
    <w:lvl w:ilvl="0" w:tplc="4FC2209C">
      <w:start w:val="1"/>
      <w:numFmt w:val="bullet"/>
      <w:lvlText w:val=""/>
      <w:lvlJc w:val="left"/>
      <w:pPr>
        <w:ind w:left="720" w:hanging="360"/>
      </w:pPr>
      <w:rPr>
        <w:rFonts w:ascii="Wingdings" w:hAnsi="Wingdings" w:hint="default"/>
        <w:color w:val="5FD0D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7C0D49"/>
    <w:multiLevelType w:val="hybridMultilevel"/>
    <w:tmpl w:val="D004E6AC"/>
    <w:lvl w:ilvl="0" w:tplc="4FC2209C">
      <w:start w:val="1"/>
      <w:numFmt w:val="bullet"/>
      <w:lvlText w:val=""/>
      <w:lvlJc w:val="left"/>
      <w:pPr>
        <w:ind w:left="720" w:hanging="360"/>
      </w:pPr>
      <w:rPr>
        <w:rFonts w:ascii="Wingdings" w:hAnsi="Wingdings" w:hint="default"/>
        <w:color w:val="5FD0D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4D76C7"/>
    <w:multiLevelType w:val="hybridMultilevel"/>
    <w:tmpl w:val="255EDA28"/>
    <w:lvl w:ilvl="0" w:tplc="4FC2209C">
      <w:start w:val="1"/>
      <w:numFmt w:val="bullet"/>
      <w:lvlText w:val=""/>
      <w:lvlJc w:val="left"/>
      <w:pPr>
        <w:ind w:left="720" w:hanging="360"/>
      </w:pPr>
      <w:rPr>
        <w:rFonts w:ascii="Wingdings" w:hAnsi="Wingdings" w:hint="default"/>
        <w:color w:val="5FD0D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6F6EA5"/>
    <w:multiLevelType w:val="hybridMultilevel"/>
    <w:tmpl w:val="12C0B4F0"/>
    <w:lvl w:ilvl="0" w:tplc="4FC2209C">
      <w:start w:val="1"/>
      <w:numFmt w:val="bullet"/>
      <w:lvlText w:val=""/>
      <w:lvlJc w:val="left"/>
      <w:pPr>
        <w:ind w:left="720" w:hanging="360"/>
      </w:pPr>
      <w:rPr>
        <w:rFonts w:ascii="Wingdings" w:hAnsi="Wingdings" w:hint="default"/>
        <w:color w:val="5FD0D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C5C1C"/>
    <w:multiLevelType w:val="hybridMultilevel"/>
    <w:tmpl w:val="68F2771A"/>
    <w:lvl w:ilvl="0" w:tplc="C1042C32">
      <w:start w:val="1"/>
      <w:numFmt w:val="bullet"/>
      <w:pStyle w:val="DANavybullet"/>
      <w:lvlText w:val=""/>
      <w:lvlJc w:val="left"/>
      <w:pPr>
        <w:ind w:left="720" w:hanging="360"/>
      </w:pPr>
      <w:rPr>
        <w:rFonts w:ascii="Symbol" w:hAnsi="Symbol" w:hint="default"/>
        <w:color w:val="2A285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E64F1"/>
    <w:multiLevelType w:val="hybridMultilevel"/>
    <w:tmpl w:val="8EFAACF6"/>
    <w:lvl w:ilvl="0" w:tplc="4FC2209C">
      <w:start w:val="1"/>
      <w:numFmt w:val="bullet"/>
      <w:lvlText w:val=""/>
      <w:lvlJc w:val="left"/>
      <w:pPr>
        <w:ind w:left="720" w:hanging="360"/>
      </w:pPr>
      <w:rPr>
        <w:rFonts w:ascii="Wingdings" w:hAnsi="Wingdings" w:hint="default"/>
        <w:color w:val="5FD0D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0A6895"/>
    <w:multiLevelType w:val="hybridMultilevel"/>
    <w:tmpl w:val="D0F85686"/>
    <w:lvl w:ilvl="0" w:tplc="4FC2209C">
      <w:start w:val="1"/>
      <w:numFmt w:val="bullet"/>
      <w:lvlText w:val=""/>
      <w:lvlJc w:val="left"/>
      <w:pPr>
        <w:ind w:left="720" w:hanging="360"/>
      </w:pPr>
      <w:rPr>
        <w:rFonts w:ascii="Wingdings" w:hAnsi="Wingdings" w:hint="default"/>
        <w:color w:val="5FD0D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976C5E"/>
    <w:multiLevelType w:val="hybridMultilevel"/>
    <w:tmpl w:val="30F69CD0"/>
    <w:lvl w:ilvl="0" w:tplc="4FC2209C">
      <w:start w:val="1"/>
      <w:numFmt w:val="bullet"/>
      <w:lvlText w:val=""/>
      <w:lvlJc w:val="left"/>
      <w:pPr>
        <w:ind w:left="720" w:hanging="360"/>
      </w:pPr>
      <w:rPr>
        <w:rFonts w:ascii="Wingdings" w:hAnsi="Wingdings" w:hint="default"/>
        <w:color w:val="5FD0D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13"/>
  </w:num>
  <w:num w:numId="4">
    <w:abstractNumId w:val="20"/>
  </w:num>
  <w:num w:numId="5">
    <w:abstractNumId w:val="18"/>
  </w:num>
  <w:num w:numId="6">
    <w:abstractNumId w:val="12"/>
  </w:num>
  <w:num w:numId="7">
    <w:abstractNumId w:val="10"/>
  </w:num>
  <w:num w:numId="8">
    <w:abstractNumId w:val="26"/>
  </w:num>
  <w:num w:numId="9">
    <w:abstractNumId w:val="19"/>
  </w:num>
  <w:num w:numId="10">
    <w:abstractNumId w:val="21"/>
  </w:num>
  <w:num w:numId="11">
    <w:abstractNumId w:val="14"/>
  </w:num>
  <w:num w:numId="12">
    <w:abstractNumId w:val="17"/>
  </w:num>
  <w:num w:numId="13">
    <w:abstractNumId w:val="1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4"/>
  </w:num>
  <w:num w:numId="25">
    <w:abstractNumId w:val="25"/>
  </w:num>
  <w:num w:numId="26">
    <w:abstractNumId w:val="2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BA"/>
    <w:rsid w:val="000E4A9A"/>
    <w:rsid w:val="00187AC4"/>
    <w:rsid w:val="0021470F"/>
    <w:rsid w:val="002C7EEA"/>
    <w:rsid w:val="003E7EC8"/>
    <w:rsid w:val="00501274"/>
    <w:rsid w:val="00562F03"/>
    <w:rsid w:val="007B0A90"/>
    <w:rsid w:val="00A569BA"/>
    <w:rsid w:val="00C10687"/>
    <w:rsid w:val="00C43298"/>
    <w:rsid w:val="00CD7D9F"/>
    <w:rsid w:val="00D93649"/>
    <w:rsid w:val="00F24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70A0F"/>
  <w15:chartTrackingRefBased/>
  <w15:docId w15:val="{7FE9A448-0BAC-4D7B-85B1-B739CF26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DF"/>
  </w:style>
  <w:style w:type="paragraph" w:styleId="Heading1">
    <w:name w:val="heading 1"/>
    <w:basedOn w:val="Normal"/>
    <w:link w:val="Heading1Char"/>
    <w:uiPriority w:val="9"/>
    <w:qFormat/>
    <w:rsid w:val="00A569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next w:val="Normal"/>
    <w:link w:val="Heading4Char"/>
    <w:uiPriority w:val="9"/>
    <w:semiHidden/>
    <w:unhideWhenUsed/>
    <w:qFormat/>
    <w:rsid w:val="00D936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9B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A569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43DF"/>
    <w:rPr>
      <w:color w:val="00B0F0"/>
      <w:u w:val="single"/>
    </w:rPr>
  </w:style>
  <w:style w:type="character" w:styleId="Strong">
    <w:name w:val="Strong"/>
    <w:basedOn w:val="DefaultParagraphFont"/>
    <w:uiPriority w:val="22"/>
    <w:qFormat/>
    <w:rsid w:val="00A569BA"/>
    <w:rPr>
      <w:b/>
      <w:bCs/>
    </w:rPr>
  </w:style>
  <w:style w:type="character" w:styleId="UnresolvedMention">
    <w:name w:val="Unresolved Mention"/>
    <w:basedOn w:val="DefaultParagraphFont"/>
    <w:uiPriority w:val="99"/>
    <w:semiHidden/>
    <w:unhideWhenUsed/>
    <w:rsid w:val="00A569BA"/>
    <w:rPr>
      <w:color w:val="605E5C"/>
      <w:shd w:val="clear" w:color="auto" w:fill="E1DFDD"/>
    </w:rPr>
  </w:style>
  <w:style w:type="character" w:styleId="FollowedHyperlink">
    <w:name w:val="FollowedHyperlink"/>
    <w:basedOn w:val="DefaultParagraphFont"/>
    <w:uiPriority w:val="99"/>
    <w:unhideWhenUsed/>
    <w:rsid w:val="00F243DF"/>
    <w:rPr>
      <w:color w:val="00B0F0"/>
      <w:u w:val="single"/>
    </w:rPr>
  </w:style>
  <w:style w:type="table" w:styleId="TableGrid">
    <w:name w:val="Table Grid"/>
    <w:basedOn w:val="TableNormal"/>
    <w:uiPriority w:val="59"/>
    <w:rsid w:val="00CD7D9F"/>
    <w:pPr>
      <w:spacing w:after="0" w:line="240" w:lineRule="auto"/>
    </w:pPr>
    <w:rPr>
      <w:rFonts w:ascii="Helvetica" w:hAnsi="Helvetica"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gitalACEheading">
    <w:name w:val="Digital ACE heading"/>
    <w:basedOn w:val="ListParagraph"/>
    <w:link w:val="DigitalACEheadingChar"/>
    <w:qFormat/>
    <w:rsid w:val="003E7EC8"/>
    <w:pPr>
      <w:numPr>
        <w:numId w:val="1"/>
      </w:numPr>
      <w:autoSpaceDE w:val="0"/>
      <w:autoSpaceDN w:val="0"/>
      <w:adjustRightInd w:val="0"/>
      <w:spacing w:before="480" w:after="120" w:line="240" w:lineRule="auto"/>
    </w:pPr>
    <w:rPr>
      <w:rFonts w:ascii="Arial" w:hAnsi="Arial" w:cs="Arial"/>
      <w:b/>
      <w:bCs/>
      <w:color w:val="2A2853"/>
      <w:sz w:val="28"/>
      <w:szCs w:val="28"/>
    </w:rPr>
  </w:style>
  <w:style w:type="character" w:customStyle="1" w:styleId="DigitalACEheadingChar">
    <w:name w:val="Digital ACE heading Char"/>
    <w:basedOn w:val="DefaultParagraphFont"/>
    <w:link w:val="DigitalACEheading"/>
    <w:rsid w:val="003E7EC8"/>
    <w:rPr>
      <w:rFonts w:ascii="Arial" w:hAnsi="Arial" w:cs="Arial"/>
      <w:b/>
      <w:bCs/>
      <w:color w:val="2A2853"/>
      <w:sz w:val="28"/>
      <w:szCs w:val="28"/>
    </w:rPr>
  </w:style>
  <w:style w:type="paragraph" w:customStyle="1" w:styleId="DigitalACEsub">
    <w:name w:val="Digital ACE sub"/>
    <w:basedOn w:val="DigitalACEheading"/>
    <w:link w:val="DigitalACEsubChar"/>
    <w:qFormat/>
    <w:rsid w:val="003E7EC8"/>
    <w:pPr>
      <w:numPr>
        <w:ilvl w:val="1"/>
      </w:numPr>
      <w:ind w:hanging="792"/>
    </w:pPr>
    <w:rPr>
      <w:sz w:val="24"/>
      <w:szCs w:val="24"/>
      <w:lang w:eastAsia="en-GB"/>
    </w:rPr>
  </w:style>
  <w:style w:type="paragraph" w:customStyle="1" w:styleId="DigitalACEsub111">
    <w:name w:val="Digital ACE sub 1.1.1"/>
    <w:basedOn w:val="DigitalACEheading"/>
    <w:qFormat/>
    <w:rsid w:val="003E7EC8"/>
    <w:pPr>
      <w:numPr>
        <w:ilvl w:val="2"/>
      </w:numPr>
      <w:tabs>
        <w:tab w:val="num" w:pos="360"/>
      </w:tabs>
      <w:ind w:left="851" w:hanging="851"/>
    </w:pPr>
    <w:rPr>
      <w:noProof/>
      <w:sz w:val="24"/>
      <w:szCs w:val="24"/>
    </w:rPr>
  </w:style>
  <w:style w:type="character" w:customStyle="1" w:styleId="DigitalACEsubChar">
    <w:name w:val="Digital ACE sub Char"/>
    <w:basedOn w:val="DigitalACEheadingChar"/>
    <w:link w:val="DigitalACEsub"/>
    <w:rsid w:val="003E7EC8"/>
    <w:rPr>
      <w:rFonts w:ascii="Arial" w:hAnsi="Arial" w:cs="Arial"/>
      <w:b/>
      <w:bCs/>
      <w:color w:val="2A2853"/>
      <w:sz w:val="24"/>
      <w:szCs w:val="24"/>
      <w:lang w:eastAsia="en-GB"/>
    </w:rPr>
  </w:style>
  <w:style w:type="paragraph" w:customStyle="1" w:styleId="DANavybullet">
    <w:name w:val="DA Navy bullet"/>
    <w:basedOn w:val="ListParagraph"/>
    <w:link w:val="DANavybulletChar"/>
    <w:qFormat/>
    <w:rsid w:val="003E7EC8"/>
    <w:pPr>
      <w:numPr>
        <w:numId w:val="2"/>
      </w:numPr>
      <w:spacing w:after="120" w:line="240" w:lineRule="auto"/>
      <w:ind w:left="426" w:hanging="426"/>
      <w:contextualSpacing w:val="0"/>
    </w:pPr>
    <w:rPr>
      <w:rFonts w:ascii="Arial" w:eastAsia="Times New Roman" w:hAnsi="Arial" w:cs="Arial"/>
      <w:sz w:val="24"/>
      <w:szCs w:val="24"/>
      <w:lang w:eastAsia="en-GB"/>
    </w:rPr>
  </w:style>
  <w:style w:type="character" w:customStyle="1" w:styleId="DANavybulletChar">
    <w:name w:val="DA Navy bullet Char"/>
    <w:basedOn w:val="DefaultParagraphFont"/>
    <w:link w:val="DANavybullet"/>
    <w:rsid w:val="003E7EC8"/>
    <w:rPr>
      <w:rFonts w:ascii="Arial" w:eastAsia="Times New Roman" w:hAnsi="Arial" w:cs="Arial"/>
      <w:sz w:val="24"/>
      <w:szCs w:val="24"/>
      <w:lang w:eastAsia="en-GB"/>
    </w:rPr>
  </w:style>
  <w:style w:type="paragraph" w:styleId="ListParagraph">
    <w:name w:val="List Paragraph"/>
    <w:basedOn w:val="Normal"/>
    <w:link w:val="ListParagraphChar"/>
    <w:uiPriority w:val="34"/>
    <w:qFormat/>
    <w:rsid w:val="003E7EC8"/>
    <w:pPr>
      <w:ind w:left="720"/>
      <w:contextualSpacing/>
    </w:pPr>
  </w:style>
  <w:style w:type="paragraph" w:styleId="Header">
    <w:name w:val="header"/>
    <w:basedOn w:val="Normal"/>
    <w:link w:val="HeaderChar"/>
    <w:uiPriority w:val="99"/>
    <w:unhideWhenUsed/>
    <w:rsid w:val="00F24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3DF"/>
  </w:style>
  <w:style w:type="paragraph" w:styleId="Footer">
    <w:name w:val="footer"/>
    <w:basedOn w:val="Normal"/>
    <w:link w:val="FooterChar"/>
    <w:uiPriority w:val="99"/>
    <w:unhideWhenUsed/>
    <w:rsid w:val="00F24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3DF"/>
  </w:style>
  <w:style w:type="paragraph" w:customStyle="1" w:styleId="Referencelink">
    <w:name w:val="Reference/link"/>
    <w:basedOn w:val="Normal"/>
    <w:link w:val="ReferencelinkChar"/>
    <w:qFormat/>
    <w:rsid w:val="0021470F"/>
    <w:pPr>
      <w:spacing w:after="120" w:line="240" w:lineRule="auto"/>
      <w:contextualSpacing/>
    </w:pPr>
    <w:rPr>
      <w:rFonts w:ascii="Arial" w:hAnsi="Arial" w:cs="Arial"/>
      <w:b/>
      <w:bCs/>
      <w:color w:val="2A2853"/>
      <w:sz w:val="24"/>
      <w:szCs w:val="24"/>
    </w:rPr>
  </w:style>
  <w:style w:type="character" w:customStyle="1" w:styleId="ReferencelinkChar">
    <w:name w:val="Reference/link Char"/>
    <w:basedOn w:val="DefaultParagraphFont"/>
    <w:link w:val="Referencelink"/>
    <w:rsid w:val="0021470F"/>
    <w:rPr>
      <w:rFonts w:ascii="Arial" w:hAnsi="Arial" w:cs="Arial"/>
      <w:b/>
      <w:bCs/>
      <w:color w:val="2A2853"/>
      <w:sz w:val="24"/>
      <w:szCs w:val="24"/>
    </w:rPr>
  </w:style>
  <w:style w:type="character" w:customStyle="1" w:styleId="ListParagraphChar">
    <w:name w:val="List Paragraph Char"/>
    <w:basedOn w:val="DefaultParagraphFont"/>
    <w:link w:val="ListParagraph"/>
    <w:uiPriority w:val="34"/>
    <w:rsid w:val="00187AC4"/>
  </w:style>
  <w:style w:type="character" w:customStyle="1" w:styleId="Heading4Char">
    <w:name w:val="Heading 4 Char"/>
    <w:basedOn w:val="DefaultParagraphFont"/>
    <w:link w:val="Heading4"/>
    <w:uiPriority w:val="9"/>
    <w:semiHidden/>
    <w:rsid w:val="00D9364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2860">
      <w:bodyDiv w:val="1"/>
      <w:marLeft w:val="0"/>
      <w:marRight w:val="0"/>
      <w:marTop w:val="0"/>
      <w:marBottom w:val="0"/>
      <w:divBdr>
        <w:top w:val="none" w:sz="0" w:space="0" w:color="auto"/>
        <w:left w:val="none" w:sz="0" w:space="0" w:color="auto"/>
        <w:bottom w:val="none" w:sz="0" w:space="0" w:color="auto"/>
        <w:right w:val="none" w:sz="0" w:space="0" w:color="auto"/>
      </w:divBdr>
    </w:div>
    <w:div w:id="303050058">
      <w:bodyDiv w:val="1"/>
      <w:marLeft w:val="0"/>
      <w:marRight w:val="0"/>
      <w:marTop w:val="0"/>
      <w:marBottom w:val="0"/>
      <w:divBdr>
        <w:top w:val="none" w:sz="0" w:space="0" w:color="auto"/>
        <w:left w:val="none" w:sz="0" w:space="0" w:color="auto"/>
        <w:bottom w:val="none" w:sz="0" w:space="0" w:color="auto"/>
        <w:right w:val="none" w:sz="0" w:space="0" w:color="auto"/>
      </w:divBdr>
      <w:divsChild>
        <w:div w:id="975180608">
          <w:marLeft w:val="0"/>
          <w:marRight w:val="0"/>
          <w:marTop w:val="0"/>
          <w:marBottom w:val="445"/>
          <w:divBdr>
            <w:top w:val="none" w:sz="0" w:space="0" w:color="auto"/>
            <w:left w:val="none" w:sz="0" w:space="0" w:color="auto"/>
            <w:bottom w:val="none" w:sz="0" w:space="0" w:color="auto"/>
            <w:right w:val="none" w:sz="0" w:space="0" w:color="auto"/>
          </w:divBdr>
          <w:divsChild>
            <w:div w:id="375549708">
              <w:marLeft w:val="0"/>
              <w:marRight w:val="0"/>
              <w:marTop w:val="0"/>
              <w:marBottom w:val="0"/>
              <w:divBdr>
                <w:top w:val="none" w:sz="0" w:space="0" w:color="auto"/>
                <w:left w:val="none" w:sz="0" w:space="0" w:color="auto"/>
                <w:bottom w:val="none" w:sz="0" w:space="0" w:color="auto"/>
                <w:right w:val="none" w:sz="0" w:space="0" w:color="auto"/>
              </w:divBdr>
            </w:div>
          </w:divsChild>
        </w:div>
        <w:div w:id="48187087">
          <w:marLeft w:val="0"/>
          <w:marRight w:val="0"/>
          <w:marTop w:val="0"/>
          <w:marBottom w:val="0"/>
          <w:divBdr>
            <w:top w:val="none" w:sz="0" w:space="0" w:color="auto"/>
            <w:left w:val="none" w:sz="0" w:space="0" w:color="auto"/>
            <w:bottom w:val="none" w:sz="0" w:space="0" w:color="auto"/>
            <w:right w:val="none" w:sz="0" w:space="0" w:color="auto"/>
          </w:divBdr>
        </w:div>
      </w:divsChild>
    </w:div>
    <w:div w:id="381758872">
      <w:bodyDiv w:val="1"/>
      <w:marLeft w:val="0"/>
      <w:marRight w:val="0"/>
      <w:marTop w:val="0"/>
      <w:marBottom w:val="0"/>
      <w:divBdr>
        <w:top w:val="none" w:sz="0" w:space="0" w:color="auto"/>
        <w:left w:val="none" w:sz="0" w:space="0" w:color="auto"/>
        <w:bottom w:val="none" w:sz="0" w:space="0" w:color="auto"/>
        <w:right w:val="none" w:sz="0" w:space="0" w:color="auto"/>
      </w:divBdr>
    </w:div>
    <w:div w:id="532887672">
      <w:bodyDiv w:val="1"/>
      <w:marLeft w:val="0"/>
      <w:marRight w:val="0"/>
      <w:marTop w:val="0"/>
      <w:marBottom w:val="0"/>
      <w:divBdr>
        <w:top w:val="none" w:sz="0" w:space="0" w:color="auto"/>
        <w:left w:val="none" w:sz="0" w:space="0" w:color="auto"/>
        <w:bottom w:val="none" w:sz="0" w:space="0" w:color="auto"/>
        <w:right w:val="none" w:sz="0" w:space="0" w:color="auto"/>
      </w:divBdr>
      <w:divsChild>
        <w:div w:id="851843742">
          <w:marLeft w:val="0"/>
          <w:marRight w:val="0"/>
          <w:marTop w:val="0"/>
          <w:marBottom w:val="445"/>
          <w:divBdr>
            <w:top w:val="none" w:sz="0" w:space="0" w:color="auto"/>
            <w:left w:val="none" w:sz="0" w:space="0" w:color="auto"/>
            <w:bottom w:val="none" w:sz="0" w:space="0" w:color="auto"/>
            <w:right w:val="none" w:sz="0" w:space="0" w:color="auto"/>
          </w:divBdr>
          <w:divsChild>
            <w:div w:id="1086610456">
              <w:marLeft w:val="0"/>
              <w:marRight w:val="0"/>
              <w:marTop w:val="0"/>
              <w:marBottom w:val="0"/>
              <w:divBdr>
                <w:top w:val="none" w:sz="0" w:space="0" w:color="auto"/>
                <w:left w:val="none" w:sz="0" w:space="0" w:color="auto"/>
                <w:bottom w:val="none" w:sz="0" w:space="0" w:color="auto"/>
                <w:right w:val="none" w:sz="0" w:space="0" w:color="auto"/>
              </w:divBdr>
            </w:div>
          </w:divsChild>
        </w:div>
        <w:div w:id="673260917">
          <w:marLeft w:val="0"/>
          <w:marRight w:val="0"/>
          <w:marTop w:val="0"/>
          <w:marBottom w:val="0"/>
          <w:divBdr>
            <w:top w:val="none" w:sz="0" w:space="0" w:color="auto"/>
            <w:left w:val="none" w:sz="0" w:space="0" w:color="auto"/>
            <w:bottom w:val="none" w:sz="0" w:space="0" w:color="auto"/>
            <w:right w:val="none" w:sz="0" w:space="0" w:color="auto"/>
          </w:divBdr>
        </w:div>
      </w:divsChild>
    </w:div>
    <w:div w:id="565578634">
      <w:bodyDiv w:val="1"/>
      <w:marLeft w:val="0"/>
      <w:marRight w:val="0"/>
      <w:marTop w:val="0"/>
      <w:marBottom w:val="0"/>
      <w:divBdr>
        <w:top w:val="none" w:sz="0" w:space="0" w:color="auto"/>
        <w:left w:val="none" w:sz="0" w:space="0" w:color="auto"/>
        <w:bottom w:val="none" w:sz="0" w:space="0" w:color="auto"/>
        <w:right w:val="none" w:sz="0" w:space="0" w:color="auto"/>
      </w:divBdr>
    </w:div>
    <w:div w:id="670255916">
      <w:bodyDiv w:val="1"/>
      <w:marLeft w:val="0"/>
      <w:marRight w:val="0"/>
      <w:marTop w:val="0"/>
      <w:marBottom w:val="0"/>
      <w:divBdr>
        <w:top w:val="none" w:sz="0" w:space="0" w:color="auto"/>
        <w:left w:val="none" w:sz="0" w:space="0" w:color="auto"/>
        <w:bottom w:val="none" w:sz="0" w:space="0" w:color="auto"/>
        <w:right w:val="none" w:sz="0" w:space="0" w:color="auto"/>
      </w:divBdr>
      <w:divsChild>
        <w:div w:id="2057243053">
          <w:marLeft w:val="0"/>
          <w:marRight w:val="0"/>
          <w:marTop w:val="0"/>
          <w:marBottom w:val="445"/>
          <w:divBdr>
            <w:top w:val="none" w:sz="0" w:space="0" w:color="auto"/>
            <w:left w:val="none" w:sz="0" w:space="0" w:color="auto"/>
            <w:bottom w:val="none" w:sz="0" w:space="0" w:color="auto"/>
            <w:right w:val="none" w:sz="0" w:space="0" w:color="auto"/>
          </w:divBdr>
          <w:divsChild>
            <w:div w:id="52508355">
              <w:marLeft w:val="0"/>
              <w:marRight w:val="0"/>
              <w:marTop w:val="0"/>
              <w:marBottom w:val="0"/>
              <w:divBdr>
                <w:top w:val="none" w:sz="0" w:space="0" w:color="auto"/>
                <w:left w:val="none" w:sz="0" w:space="0" w:color="auto"/>
                <w:bottom w:val="none" w:sz="0" w:space="0" w:color="auto"/>
                <w:right w:val="none" w:sz="0" w:space="0" w:color="auto"/>
              </w:divBdr>
            </w:div>
          </w:divsChild>
        </w:div>
        <w:div w:id="855769956">
          <w:marLeft w:val="0"/>
          <w:marRight w:val="0"/>
          <w:marTop w:val="0"/>
          <w:marBottom w:val="0"/>
          <w:divBdr>
            <w:top w:val="none" w:sz="0" w:space="0" w:color="auto"/>
            <w:left w:val="none" w:sz="0" w:space="0" w:color="auto"/>
            <w:bottom w:val="none" w:sz="0" w:space="0" w:color="auto"/>
            <w:right w:val="none" w:sz="0" w:space="0" w:color="auto"/>
          </w:divBdr>
        </w:div>
      </w:divsChild>
    </w:div>
    <w:div w:id="696277267">
      <w:bodyDiv w:val="1"/>
      <w:marLeft w:val="0"/>
      <w:marRight w:val="0"/>
      <w:marTop w:val="0"/>
      <w:marBottom w:val="0"/>
      <w:divBdr>
        <w:top w:val="none" w:sz="0" w:space="0" w:color="auto"/>
        <w:left w:val="none" w:sz="0" w:space="0" w:color="auto"/>
        <w:bottom w:val="none" w:sz="0" w:space="0" w:color="auto"/>
        <w:right w:val="none" w:sz="0" w:space="0" w:color="auto"/>
      </w:divBdr>
    </w:div>
    <w:div w:id="746076136">
      <w:bodyDiv w:val="1"/>
      <w:marLeft w:val="0"/>
      <w:marRight w:val="0"/>
      <w:marTop w:val="0"/>
      <w:marBottom w:val="0"/>
      <w:divBdr>
        <w:top w:val="none" w:sz="0" w:space="0" w:color="auto"/>
        <w:left w:val="none" w:sz="0" w:space="0" w:color="auto"/>
        <w:bottom w:val="none" w:sz="0" w:space="0" w:color="auto"/>
        <w:right w:val="none" w:sz="0" w:space="0" w:color="auto"/>
      </w:divBdr>
    </w:div>
    <w:div w:id="787940960">
      <w:bodyDiv w:val="1"/>
      <w:marLeft w:val="0"/>
      <w:marRight w:val="0"/>
      <w:marTop w:val="0"/>
      <w:marBottom w:val="0"/>
      <w:divBdr>
        <w:top w:val="none" w:sz="0" w:space="0" w:color="auto"/>
        <w:left w:val="none" w:sz="0" w:space="0" w:color="auto"/>
        <w:bottom w:val="none" w:sz="0" w:space="0" w:color="auto"/>
        <w:right w:val="none" w:sz="0" w:space="0" w:color="auto"/>
      </w:divBdr>
      <w:divsChild>
        <w:div w:id="1349984406">
          <w:marLeft w:val="0"/>
          <w:marRight w:val="0"/>
          <w:marTop w:val="0"/>
          <w:marBottom w:val="445"/>
          <w:divBdr>
            <w:top w:val="none" w:sz="0" w:space="0" w:color="auto"/>
            <w:left w:val="none" w:sz="0" w:space="0" w:color="auto"/>
            <w:bottom w:val="none" w:sz="0" w:space="0" w:color="auto"/>
            <w:right w:val="none" w:sz="0" w:space="0" w:color="auto"/>
          </w:divBdr>
          <w:divsChild>
            <w:div w:id="1307783507">
              <w:marLeft w:val="0"/>
              <w:marRight w:val="0"/>
              <w:marTop w:val="0"/>
              <w:marBottom w:val="0"/>
              <w:divBdr>
                <w:top w:val="none" w:sz="0" w:space="0" w:color="auto"/>
                <w:left w:val="none" w:sz="0" w:space="0" w:color="auto"/>
                <w:bottom w:val="none" w:sz="0" w:space="0" w:color="auto"/>
                <w:right w:val="none" w:sz="0" w:space="0" w:color="auto"/>
              </w:divBdr>
            </w:div>
          </w:divsChild>
        </w:div>
        <w:div w:id="1183125674">
          <w:marLeft w:val="0"/>
          <w:marRight w:val="0"/>
          <w:marTop w:val="0"/>
          <w:marBottom w:val="445"/>
          <w:divBdr>
            <w:top w:val="none" w:sz="0" w:space="0" w:color="auto"/>
            <w:left w:val="none" w:sz="0" w:space="0" w:color="auto"/>
            <w:bottom w:val="none" w:sz="0" w:space="0" w:color="auto"/>
            <w:right w:val="none" w:sz="0" w:space="0" w:color="auto"/>
          </w:divBdr>
          <w:divsChild>
            <w:div w:id="725297237">
              <w:marLeft w:val="0"/>
              <w:marRight w:val="0"/>
              <w:marTop w:val="0"/>
              <w:marBottom w:val="0"/>
              <w:divBdr>
                <w:top w:val="none" w:sz="0" w:space="0" w:color="auto"/>
                <w:left w:val="none" w:sz="0" w:space="0" w:color="auto"/>
                <w:bottom w:val="none" w:sz="0" w:space="0" w:color="auto"/>
                <w:right w:val="none" w:sz="0" w:space="0" w:color="auto"/>
              </w:divBdr>
            </w:div>
          </w:divsChild>
        </w:div>
        <w:div w:id="1525486022">
          <w:marLeft w:val="0"/>
          <w:marRight w:val="0"/>
          <w:marTop w:val="0"/>
          <w:marBottom w:val="445"/>
          <w:divBdr>
            <w:top w:val="none" w:sz="0" w:space="0" w:color="auto"/>
            <w:left w:val="none" w:sz="0" w:space="0" w:color="auto"/>
            <w:bottom w:val="none" w:sz="0" w:space="0" w:color="auto"/>
            <w:right w:val="none" w:sz="0" w:space="0" w:color="auto"/>
          </w:divBdr>
          <w:divsChild>
            <w:div w:id="1658607941">
              <w:marLeft w:val="0"/>
              <w:marRight w:val="0"/>
              <w:marTop w:val="0"/>
              <w:marBottom w:val="0"/>
              <w:divBdr>
                <w:top w:val="none" w:sz="0" w:space="0" w:color="auto"/>
                <w:left w:val="none" w:sz="0" w:space="0" w:color="auto"/>
                <w:bottom w:val="none" w:sz="0" w:space="0" w:color="auto"/>
                <w:right w:val="none" w:sz="0" w:space="0" w:color="auto"/>
              </w:divBdr>
            </w:div>
          </w:divsChild>
        </w:div>
        <w:div w:id="1661420877">
          <w:marLeft w:val="0"/>
          <w:marRight w:val="0"/>
          <w:marTop w:val="0"/>
          <w:marBottom w:val="0"/>
          <w:divBdr>
            <w:top w:val="none" w:sz="0" w:space="0" w:color="auto"/>
            <w:left w:val="none" w:sz="0" w:space="0" w:color="auto"/>
            <w:bottom w:val="none" w:sz="0" w:space="0" w:color="auto"/>
            <w:right w:val="none" w:sz="0" w:space="0" w:color="auto"/>
          </w:divBdr>
        </w:div>
      </w:divsChild>
    </w:div>
    <w:div w:id="911506835">
      <w:bodyDiv w:val="1"/>
      <w:marLeft w:val="0"/>
      <w:marRight w:val="0"/>
      <w:marTop w:val="0"/>
      <w:marBottom w:val="0"/>
      <w:divBdr>
        <w:top w:val="none" w:sz="0" w:space="0" w:color="auto"/>
        <w:left w:val="none" w:sz="0" w:space="0" w:color="auto"/>
        <w:bottom w:val="none" w:sz="0" w:space="0" w:color="auto"/>
        <w:right w:val="none" w:sz="0" w:space="0" w:color="auto"/>
      </w:divBdr>
    </w:div>
    <w:div w:id="941033909">
      <w:bodyDiv w:val="1"/>
      <w:marLeft w:val="0"/>
      <w:marRight w:val="0"/>
      <w:marTop w:val="0"/>
      <w:marBottom w:val="0"/>
      <w:divBdr>
        <w:top w:val="none" w:sz="0" w:space="0" w:color="auto"/>
        <w:left w:val="none" w:sz="0" w:space="0" w:color="auto"/>
        <w:bottom w:val="none" w:sz="0" w:space="0" w:color="auto"/>
        <w:right w:val="none" w:sz="0" w:space="0" w:color="auto"/>
      </w:divBdr>
      <w:divsChild>
        <w:div w:id="853227768">
          <w:marLeft w:val="0"/>
          <w:marRight w:val="0"/>
          <w:marTop w:val="0"/>
          <w:marBottom w:val="445"/>
          <w:divBdr>
            <w:top w:val="none" w:sz="0" w:space="0" w:color="auto"/>
            <w:left w:val="none" w:sz="0" w:space="0" w:color="auto"/>
            <w:bottom w:val="none" w:sz="0" w:space="0" w:color="auto"/>
            <w:right w:val="none" w:sz="0" w:space="0" w:color="auto"/>
          </w:divBdr>
          <w:divsChild>
            <w:div w:id="1085610674">
              <w:marLeft w:val="0"/>
              <w:marRight w:val="0"/>
              <w:marTop w:val="0"/>
              <w:marBottom w:val="0"/>
              <w:divBdr>
                <w:top w:val="none" w:sz="0" w:space="0" w:color="auto"/>
                <w:left w:val="none" w:sz="0" w:space="0" w:color="auto"/>
                <w:bottom w:val="none" w:sz="0" w:space="0" w:color="auto"/>
                <w:right w:val="none" w:sz="0" w:space="0" w:color="auto"/>
              </w:divBdr>
            </w:div>
          </w:divsChild>
        </w:div>
        <w:div w:id="192808812">
          <w:marLeft w:val="0"/>
          <w:marRight w:val="0"/>
          <w:marTop w:val="0"/>
          <w:marBottom w:val="0"/>
          <w:divBdr>
            <w:top w:val="none" w:sz="0" w:space="0" w:color="auto"/>
            <w:left w:val="none" w:sz="0" w:space="0" w:color="auto"/>
            <w:bottom w:val="none" w:sz="0" w:space="0" w:color="auto"/>
            <w:right w:val="none" w:sz="0" w:space="0" w:color="auto"/>
          </w:divBdr>
        </w:div>
      </w:divsChild>
    </w:div>
    <w:div w:id="1346981896">
      <w:bodyDiv w:val="1"/>
      <w:marLeft w:val="0"/>
      <w:marRight w:val="0"/>
      <w:marTop w:val="0"/>
      <w:marBottom w:val="0"/>
      <w:divBdr>
        <w:top w:val="none" w:sz="0" w:space="0" w:color="auto"/>
        <w:left w:val="none" w:sz="0" w:space="0" w:color="auto"/>
        <w:bottom w:val="none" w:sz="0" w:space="0" w:color="auto"/>
        <w:right w:val="none" w:sz="0" w:space="0" w:color="auto"/>
      </w:divBdr>
    </w:div>
    <w:div w:id="1455098856">
      <w:bodyDiv w:val="1"/>
      <w:marLeft w:val="0"/>
      <w:marRight w:val="0"/>
      <w:marTop w:val="0"/>
      <w:marBottom w:val="0"/>
      <w:divBdr>
        <w:top w:val="none" w:sz="0" w:space="0" w:color="auto"/>
        <w:left w:val="none" w:sz="0" w:space="0" w:color="auto"/>
        <w:bottom w:val="none" w:sz="0" w:space="0" w:color="auto"/>
        <w:right w:val="none" w:sz="0" w:space="0" w:color="auto"/>
      </w:divBdr>
    </w:div>
    <w:div w:id="1518539542">
      <w:bodyDiv w:val="1"/>
      <w:marLeft w:val="0"/>
      <w:marRight w:val="0"/>
      <w:marTop w:val="0"/>
      <w:marBottom w:val="0"/>
      <w:divBdr>
        <w:top w:val="none" w:sz="0" w:space="0" w:color="auto"/>
        <w:left w:val="none" w:sz="0" w:space="0" w:color="auto"/>
        <w:bottom w:val="none" w:sz="0" w:space="0" w:color="auto"/>
        <w:right w:val="none" w:sz="0" w:space="0" w:color="auto"/>
      </w:divBdr>
    </w:div>
    <w:div w:id="1519392773">
      <w:bodyDiv w:val="1"/>
      <w:marLeft w:val="0"/>
      <w:marRight w:val="0"/>
      <w:marTop w:val="0"/>
      <w:marBottom w:val="0"/>
      <w:divBdr>
        <w:top w:val="none" w:sz="0" w:space="0" w:color="auto"/>
        <w:left w:val="none" w:sz="0" w:space="0" w:color="auto"/>
        <w:bottom w:val="none" w:sz="0" w:space="0" w:color="auto"/>
        <w:right w:val="none" w:sz="0" w:space="0" w:color="auto"/>
      </w:divBdr>
    </w:div>
    <w:div w:id="1574193699">
      <w:bodyDiv w:val="1"/>
      <w:marLeft w:val="0"/>
      <w:marRight w:val="0"/>
      <w:marTop w:val="0"/>
      <w:marBottom w:val="0"/>
      <w:divBdr>
        <w:top w:val="none" w:sz="0" w:space="0" w:color="auto"/>
        <w:left w:val="none" w:sz="0" w:space="0" w:color="auto"/>
        <w:bottom w:val="none" w:sz="0" w:space="0" w:color="auto"/>
        <w:right w:val="none" w:sz="0" w:space="0" w:color="auto"/>
      </w:divBdr>
    </w:div>
    <w:div w:id="1656032581">
      <w:bodyDiv w:val="1"/>
      <w:marLeft w:val="0"/>
      <w:marRight w:val="0"/>
      <w:marTop w:val="0"/>
      <w:marBottom w:val="0"/>
      <w:divBdr>
        <w:top w:val="none" w:sz="0" w:space="0" w:color="auto"/>
        <w:left w:val="none" w:sz="0" w:space="0" w:color="auto"/>
        <w:bottom w:val="none" w:sz="0" w:space="0" w:color="auto"/>
        <w:right w:val="none" w:sz="0" w:space="0" w:color="auto"/>
      </w:divBdr>
    </w:div>
    <w:div w:id="1753769943">
      <w:bodyDiv w:val="1"/>
      <w:marLeft w:val="0"/>
      <w:marRight w:val="0"/>
      <w:marTop w:val="0"/>
      <w:marBottom w:val="0"/>
      <w:divBdr>
        <w:top w:val="none" w:sz="0" w:space="0" w:color="auto"/>
        <w:left w:val="none" w:sz="0" w:space="0" w:color="auto"/>
        <w:bottom w:val="none" w:sz="0" w:space="0" w:color="auto"/>
        <w:right w:val="none" w:sz="0" w:space="0" w:color="auto"/>
      </w:divBdr>
      <w:divsChild>
        <w:div w:id="1863275792">
          <w:marLeft w:val="0"/>
          <w:marRight w:val="0"/>
          <w:marTop w:val="0"/>
          <w:marBottom w:val="450"/>
          <w:divBdr>
            <w:top w:val="none" w:sz="0" w:space="0" w:color="auto"/>
            <w:left w:val="none" w:sz="0" w:space="0" w:color="auto"/>
            <w:bottom w:val="none" w:sz="0" w:space="0" w:color="auto"/>
            <w:right w:val="none" w:sz="0" w:space="0" w:color="auto"/>
          </w:divBdr>
        </w:div>
        <w:div w:id="1752463224">
          <w:marLeft w:val="0"/>
          <w:marRight w:val="0"/>
          <w:marTop w:val="0"/>
          <w:marBottom w:val="0"/>
          <w:divBdr>
            <w:top w:val="none" w:sz="0" w:space="0" w:color="auto"/>
            <w:left w:val="none" w:sz="0" w:space="0" w:color="auto"/>
            <w:bottom w:val="none" w:sz="0" w:space="0" w:color="auto"/>
            <w:right w:val="none" w:sz="0" w:space="0" w:color="auto"/>
          </w:divBdr>
        </w:div>
      </w:divsChild>
    </w:div>
    <w:div w:id="1772819060">
      <w:bodyDiv w:val="1"/>
      <w:marLeft w:val="0"/>
      <w:marRight w:val="0"/>
      <w:marTop w:val="0"/>
      <w:marBottom w:val="0"/>
      <w:divBdr>
        <w:top w:val="none" w:sz="0" w:space="0" w:color="auto"/>
        <w:left w:val="none" w:sz="0" w:space="0" w:color="auto"/>
        <w:bottom w:val="none" w:sz="0" w:space="0" w:color="auto"/>
        <w:right w:val="none" w:sz="0" w:space="0" w:color="auto"/>
      </w:divBdr>
    </w:div>
    <w:div w:id="1805804753">
      <w:bodyDiv w:val="1"/>
      <w:marLeft w:val="0"/>
      <w:marRight w:val="0"/>
      <w:marTop w:val="0"/>
      <w:marBottom w:val="0"/>
      <w:divBdr>
        <w:top w:val="none" w:sz="0" w:space="0" w:color="auto"/>
        <w:left w:val="none" w:sz="0" w:space="0" w:color="auto"/>
        <w:bottom w:val="none" w:sz="0" w:space="0" w:color="auto"/>
        <w:right w:val="none" w:sz="0" w:space="0" w:color="auto"/>
      </w:divBdr>
    </w:div>
    <w:div w:id="1873490235">
      <w:bodyDiv w:val="1"/>
      <w:marLeft w:val="0"/>
      <w:marRight w:val="0"/>
      <w:marTop w:val="0"/>
      <w:marBottom w:val="0"/>
      <w:divBdr>
        <w:top w:val="none" w:sz="0" w:space="0" w:color="auto"/>
        <w:left w:val="none" w:sz="0" w:space="0" w:color="auto"/>
        <w:bottom w:val="none" w:sz="0" w:space="0" w:color="auto"/>
        <w:right w:val="none" w:sz="0" w:space="0" w:color="auto"/>
      </w:divBdr>
    </w:div>
    <w:div w:id="1968661906">
      <w:bodyDiv w:val="1"/>
      <w:marLeft w:val="0"/>
      <w:marRight w:val="0"/>
      <w:marTop w:val="0"/>
      <w:marBottom w:val="0"/>
      <w:divBdr>
        <w:top w:val="none" w:sz="0" w:space="0" w:color="auto"/>
        <w:left w:val="none" w:sz="0" w:space="0" w:color="auto"/>
        <w:bottom w:val="none" w:sz="0" w:space="0" w:color="auto"/>
        <w:right w:val="none" w:sz="0" w:space="0" w:color="auto"/>
      </w:divBdr>
      <w:divsChild>
        <w:div w:id="944266724">
          <w:marLeft w:val="0"/>
          <w:marRight w:val="0"/>
          <w:marTop w:val="0"/>
          <w:marBottom w:val="445"/>
          <w:divBdr>
            <w:top w:val="none" w:sz="0" w:space="0" w:color="auto"/>
            <w:left w:val="none" w:sz="0" w:space="0" w:color="auto"/>
            <w:bottom w:val="none" w:sz="0" w:space="0" w:color="auto"/>
            <w:right w:val="none" w:sz="0" w:space="0" w:color="auto"/>
          </w:divBdr>
          <w:divsChild>
            <w:div w:id="208807753">
              <w:marLeft w:val="0"/>
              <w:marRight w:val="0"/>
              <w:marTop w:val="0"/>
              <w:marBottom w:val="0"/>
              <w:divBdr>
                <w:top w:val="none" w:sz="0" w:space="0" w:color="auto"/>
                <w:left w:val="none" w:sz="0" w:space="0" w:color="auto"/>
                <w:bottom w:val="none" w:sz="0" w:space="0" w:color="auto"/>
                <w:right w:val="none" w:sz="0" w:space="0" w:color="auto"/>
              </w:divBdr>
            </w:div>
          </w:divsChild>
        </w:div>
        <w:div w:id="109010463">
          <w:marLeft w:val="0"/>
          <w:marRight w:val="0"/>
          <w:marTop w:val="0"/>
          <w:marBottom w:val="0"/>
          <w:divBdr>
            <w:top w:val="none" w:sz="0" w:space="0" w:color="auto"/>
            <w:left w:val="none" w:sz="0" w:space="0" w:color="auto"/>
            <w:bottom w:val="none" w:sz="0" w:space="0" w:color="auto"/>
            <w:right w:val="none" w:sz="0" w:space="0" w:color="auto"/>
          </w:divBdr>
        </w:div>
      </w:divsChild>
    </w:div>
    <w:div w:id="214731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olex.org.uk/digital-ace-safeguarding-prevent/" TargetMode="External"/><Relationship Id="rId21" Type="http://schemas.openxmlformats.org/officeDocument/2006/relationships/hyperlink" Target="https://holex.org.uk/wp-content/uploads/Digital_ACE/01_Policy/Annex-9-ACL-Essex-Remote-Learning-Policy-%E2%80%93-Policy-implementation-for-ACL-Learners.docx" TargetMode="External"/><Relationship Id="rId34" Type="http://schemas.openxmlformats.org/officeDocument/2006/relationships/hyperlink" Target="https://holex.org.uk/wp-content/uploads/2020/10/Annex-5-Gateshead-Council-Homeworking-Guidance.pdf" TargetMode="External"/><Relationship Id="rId42" Type="http://schemas.openxmlformats.org/officeDocument/2006/relationships/hyperlink" Target="https://holex.org.uk/digital-ace-developing-resources/" TargetMode="External"/><Relationship Id="rId47" Type="http://schemas.openxmlformats.org/officeDocument/2006/relationships/hyperlink" Target="https://holex.org.uk/wp-content/uploads/2020/10/Annex-2-Bucks-Online-Learning-Google-ClassroomMeet.pptx" TargetMode="External"/><Relationship Id="rId50" Type="http://schemas.openxmlformats.org/officeDocument/2006/relationships/hyperlink" Target="https://holex.org.uk/wp-content/uploads/2020/10/Annex-5-Newcastle-Teaching-Presence-student-Engagement.pptx" TargetMode="External"/><Relationship Id="rId55" Type="http://schemas.openxmlformats.org/officeDocument/2006/relationships/hyperlink" Target="https://holex.org.uk/wp-content/uploads/2020/10/Annex-9-Bucks-links-for-online-communication.docx" TargetMode="External"/><Relationship Id="rId63" Type="http://schemas.openxmlformats.org/officeDocument/2006/relationships/hyperlink" Target="https://holex.org.uk/wp-content/uploads/2020/10/Annex-3-Bromley-Adult-Education-College-QA-of-induction-and-IAG.docx" TargetMode="External"/><Relationship Id="rId68" Type="http://schemas.openxmlformats.org/officeDocument/2006/relationships/hyperlink" Target="https://holex.org.uk/wp-content/uploads/2020/10/Annex-8-ACL-Essex-guidance-for-self-assessment-of-online-provision.docx" TargetMode="External"/><Relationship Id="rId76" Type="http://schemas.openxmlformats.org/officeDocument/2006/relationships/hyperlink" Target="https://holex.org.uk/wp-content/uploads/2020/10/Annex-2-Checklist-study-skills-online-learning.docx" TargetMode="External"/><Relationship Id="rId84" Type="http://schemas.openxmlformats.org/officeDocument/2006/relationships/hyperlink" Target="https://holex.org.uk/wp-content/uploads/2020/10/Case-Study-7-Virtual-creative-arts-delivery.docx" TargetMode="External"/><Relationship Id="rId89" Type="http://schemas.openxmlformats.org/officeDocument/2006/relationships/hyperlink" Target="https://holex.org.uk/wp-content/uploads/2020/11/Digital-ACE-Underpinning-Technology-Guidance-03NOV20-Final.docx" TargetMode="External"/><Relationship Id="rId97" Type="http://schemas.openxmlformats.org/officeDocument/2006/relationships/image" Target="media/image3.png"/><Relationship Id="rId7" Type="http://schemas.openxmlformats.org/officeDocument/2006/relationships/image" Target="media/image1.png"/><Relationship Id="rId71" Type="http://schemas.openxmlformats.org/officeDocument/2006/relationships/hyperlink" Target="https://holex.org.uk/digital-ace-supporting-low-skilled-learners/" TargetMode="External"/><Relationship Id="rId92" Type="http://schemas.openxmlformats.org/officeDocument/2006/relationships/hyperlink" Target="https://holex.org.uk/wp-content/uploads/2020/10/Annex-2-How-to-Guide-for-learners-GSuite-for-Education.docx" TargetMode="External"/><Relationship Id="rId2" Type="http://schemas.openxmlformats.org/officeDocument/2006/relationships/styles" Target="styles.xml"/><Relationship Id="rId16" Type="http://schemas.openxmlformats.org/officeDocument/2006/relationships/hyperlink" Target="https://holex.org.uk/wp-content/uploads/Digital_ACE/01_Policy/Annex-4-Sutton-College-of-Adult-Education-Digital-Strategy-2020-2023.docx" TargetMode="External"/><Relationship Id="rId29" Type="http://schemas.openxmlformats.org/officeDocument/2006/relationships/hyperlink" Target="https://holex.org.uk/wp-content/uploads/2020/10/Digital-ACE-Safeguard-Prevent-Guidance-Materials-FINAL_05Oct20.pdf" TargetMode="External"/><Relationship Id="rId11" Type="http://schemas.openxmlformats.org/officeDocument/2006/relationships/hyperlink" Target="https://holex.org.uk/wp-content/uploads/2020/09/Digital-ACE-Policy-FINAL_280920.docx" TargetMode="External"/><Relationship Id="rId24" Type="http://schemas.openxmlformats.org/officeDocument/2006/relationships/hyperlink" Target="https://holex.org.uk/wp-content/uploads/Digital_ACE/01_Policy/Annex-11B-ACL-Essex-Remote-Learning-Policy-in-full.pdf" TargetMode="External"/><Relationship Id="rId32" Type="http://schemas.openxmlformats.org/officeDocument/2006/relationships/hyperlink" Target="https://holex.org.uk/wp-content/uploads/2020/10/Annex-3-ACL-Essex-Prevent-Safeguard-Strategy-RA.docx" TargetMode="External"/><Relationship Id="rId37" Type="http://schemas.openxmlformats.org/officeDocument/2006/relationships/hyperlink" Target="https://holex.org.uk/wp-content/uploads/2020/10/Annex-8-ACL-Essex-Keeping-us-Safe-newsletter-no-2-.docx" TargetMode="External"/><Relationship Id="rId40" Type="http://schemas.openxmlformats.org/officeDocument/2006/relationships/hyperlink" Target="https://holex.org.uk/wp-content/uploads/2020/10/Annex-11-ACL-Essex-links-mental-health-support.docx" TargetMode="External"/><Relationship Id="rId45" Type="http://schemas.openxmlformats.org/officeDocument/2006/relationships/hyperlink" Target="https://holex.org.uk/wp-content/uploads/2020/10/Digital-ACE-Develop-Resources-Guidance-09Oct20FINAL.pdf%20" TargetMode="External"/><Relationship Id="rId53" Type="http://schemas.openxmlformats.org/officeDocument/2006/relationships/hyperlink" Target="https://holex.org.uk/wp-content/uploads/2020/10/Annex-8-Worcs-SCULPT-introductory-slides.pptx" TargetMode="External"/><Relationship Id="rId58" Type="http://schemas.openxmlformats.org/officeDocument/2006/relationships/hyperlink" Target="https://holex.org.uk/digital-ace-quality-assurance/" TargetMode="External"/><Relationship Id="rId66" Type="http://schemas.openxmlformats.org/officeDocument/2006/relationships/hyperlink" Target="https://holex.org.uk/wp-content/uploads/2020/10/Annex-6-Northern-College-guidance-for-tutors-OTL-for-online-learning.docx" TargetMode="External"/><Relationship Id="rId74" Type="http://schemas.openxmlformats.org/officeDocument/2006/relationships/hyperlink" Target="https://holex.org.uk/wp-content/uploads/2020/11/Digital-ACE-Low-skilled-Learners-Guidance-FINAL-21Oct20-v1.1.pdf" TargetMode="External"/><Relationship Id="rId79" Type="http://schemas.openxmlformats.org/officeDocument/2006/relationships/hyperlink" Target="https://holex.org.uk/wp-content/uploads/2020/10/Case-Study-2-Engaging-learners-to-continue-learning-low-self-confidence-.docx" TargetMode="External"/><Relationship Id="rId87" Type="http://schemas.openxmlformats.org/officeDocument/2006/relationships/hyperlink" Target="https://holex.org.uk/underpinning-technology/" TargetMode="External"/><Relationship Id="rId5" Type="http://schemas.openxmlformats.org/officeDocument/2006/relationships/footnotes" Target="footnotes.xml"/><Relationship Id="rId61" Type="http://schemas.openxmlformats.org/officeDocument/2006/relationships/hyperlink" Target="https://holex.org.uk/wp-content/uploads/2020/10/Annex-1-Learn-Harrow-survey-questions-to-learners.docx" TargetMode="External"/><Relationship Id="rId82" Type="http://schemas.openxmlformats.org/officeDocument/2006/relationships/hyperlink" Target="https://holex.org.uk/wp-content/uploads/2020/10/Case-Study-5-Remote-delivery-employment-prog-learning-disabilities.docx" TargetMode="External"/><Relationship Id="rId90" Type="http://schemas.openxmlformats.org/officeDocument/2006/relationships/hyperlink" Target="https://holex.org.uk/wp-content/uploads/2020/11/Digital-ACE-Underpinnning-Technology-Guidance-03Nov20-FINAL.pdf" TargetMode="External"/><Relationship Id="rId95" Type="http://schemas.openxmlformats.org/officeDocument/2006/relationships/hyperlink" Target="https://holex.org.uk/wp-content/uploads/2020/10/Annex-5-Kingston-Equipment-loan-Use-agreement-TEMPLATE.pdf" TargetMode="External"/><Relationship Id="rId19" Type="http://schemas.openxmlformats.org/officeDocument/2006/relationships/hyperlink" Target="https://holex.org.uk/wp-content/uploads/Digital_ACE/01_Policy/Annex-7-Thurrock-Adult-Community-Colleges-Learner-Digital-Entitlement.docx" TargetMode="External"/><Relationship Id="rId14" Type="http://schemas.openxmlformats.org/officeDocument/2006/relationships/hyperlink" Target="https://holex.org.uk/wp-content/uploads/Digital_ACE/01_Policy/Annex-2-Checklist-for-implementing-your-digital-policy.docx" TargetMode="External"/><Relationship Id="rId22" Type="http://schemas.openxmlformats.org/officeDocument/2006/relationships/hyperlink" Target="https://holex.org.uk/wp-content/uploads/Digital_ACE/01_Policy/Annex-10-Southend-Community-College-Guidance-Note-for-staff-on-working-from-home.docx" TargetMode="External"/><Relationship Id="rId27" Type="http://schemas.openxmlformats.org/officeDocument/2006/relationships/hyperlink" Target="https://holex.org.uk/digital-ace-safeguarding-prevent/" TargetMode="External"/><Relationship Id="rId30" Type="http://schemas.openxmlformats.org/officeDocument/2006/relationships/hyperlink" Target="https://holex.org.uk/wp-content/uploads/2020/10/Annex-1-Online-safeguarding-Self-review.docx" TargetMode="External"/><Relationship Id="rId35" Type="http://schemas.openxmlformats.org/officeDocument/2006/relationships/hyperlink" Target="https://holex.org.uk/wp-content/uploads/2020/10/Annex-6-Southend-FAQ-Safeguard-surgery.docx" TargetMode="External"/><Relationship Id="rId43" Type="http://schemas.openxmlformats.org/officeDocument/2006/relationships/hyperlink" Target="https://holex.org.uk/digital-ace-developing-resources/" TargetMode="External"/><Relationship Id="rId48" Type="http://schemas.openxmlformats.org/officeDocument/2006/relationships/hyperlink" Target="https://holex.org.uk/wp-content/uploads/2020/10/Annex-3-Bucks-GSuite-for-online-teaching-learning.pptx" TargetMode="External"/><Relationship Id="rId56" Type="http://schemas.openxmlformats.org/officeDocument/2006/relationships/hyperlink" Target="https://holex.org.uk/wp-content/uploads/2020/10/Annex-10-The-MAES-draft-blended-learning-model.pdf" TargetMode="External"/><Relationship Id="rId64" Type="http://schemas.openxmlformats.org/officeDocument/2006/relationships/hyperlink" Target="https://holex.org.uk/wp-content/uploads/2020/10/Annex-4-Buckinghamshire-County-Council-online-self-assessment-for-staff.docx" TargetMode="External"/><Relationship Id="rId69" Type="http://schemas.openxmlformats.org/officeDocument/2006/relationships/hyperlink" Target="https://holex.org.uk/wp-content/uploads/2020/10/Annex-9-Template-for-online-evaluation-for-self-assessment.docx" TargetMode="External"/><Relationship Id="rId77" Type="http://schemas.openxmlformats.org/officeDocument/2006/relationships/hyperlink" Target="https://holex.org.uk/wp-content/uploads/2020/10/Annex-3-Manchester-remote-initial-assess-pre-entry-ESOL.docx" TargetMode="External"/><Relationship Id="rId100"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holex.org.uk/wp-content/uploads/2020/10/Annex-6-Bucks-links-for-getting-learner-feedback.docx" TargetMode="External"/><Relationship Id="rId72" Type="http://schemas.openxmlformats.org/officeDocument/2006/relationships/hyperlink" Target="https://holex.org.uk/digital-ace-supporting-low-skilled-learners/" TargetMode="External"/><Relationship Id="rId80" Type="http://schemas.openxmlformats.org/officeDocument/2006/relationships/hyperlink" Target="https://holex.org.uk/wp-content/uploads/2020/10/Case-Study-3-Pre-entry-entry-ESOL-learners-limited-digital-skill.docx" TargetMode="External"/><Relationship Id="rId85" Type="http://schemas.openxmlformats.org/officeDocument/2006/relationships/hyperlink" Target="https://holex.org.uk/wp-content/uploads/2020/10/Case-Study-8-Online-delivery-entry-pre-entry-low-skilled-low-level-digital.docx" TargetMode="External"/><Relationship Id="rId93" Type="http://schemas.openxmlformats.org/officeDocument/2006/relationships/hyperlink" Target="https://holex.org.uk/wp-content/uploads/2020/10/Annex-3-How-to-download-a-Word-document-Google-classroom.docx" TargetMode="External"/><Relationship Id="rId9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holex.org.uk/wp-content/uploads/2020/09/Digital-ACE-Policy-FINAL-PDF.pdf" TargetMode="External"/><Relationship Id="rId17" Type="http://schemas.openxmlformats.org/officeDocument/2006/relationships/hyperlink" Target="https://holex.org.uk/wp-content/uploads/Digital_ACE/01_Policy/Annex-5-Further-examples-of-visions-and-policy-goals-for-digital-ACE.docx" TargetMode="External"/><Relationship Id="rId25" Type="http://schemas.openxmlformats.org/officeDocument/2006/relationships/hyperlink" Target="https://holex.org.uk/wp-content/uploads/Digital_ACE/01_Policy/Annex-12-Southend-Adult-Community-College-Safeguarding-Policy-Addendum.docx" TargetMode="External"/><Relationship Id="rId33" Type="http://schemas.openxmlformats.org/officeDocument/2006/relationships/hyperlink" Target="https://holex.org.uk/wp-content/uploads/2020/10/Annex-4-Gateshead-LS-Home-Working-Guidance.docx" TargetMode="External"/><Relationship Id="rId38" Type="http://schemas.openxmlformats.org/officeDocument/2006/relationships/hyperlink" Target="https://holex.org.uk/wp-content/uploads/2020/10/Annex-9-Stockport-Knowledge-Orgnaiser-learners.pptx" TargetMode="External"/><Relationship Id="rId46" Type="http://schemas.openxmlformats.org/officeDocument/2006/relationships/hyperlink" Target="https://holex.org.uk/wp-content/uploads/2020/10/Annex-1-The-7-Cs-of-Classroom-Climate-from-John-Hattie.docx" TargetMode="External"/><Relationship Id="rId59" Type="http://schemas.openxmlformats.org/officeDocument/2006/relationships/hyperlink" Target="https://holex.org.uk/wp-content/uploads/2021/01/Digital-ACE-Quality-Asssurance-Guidance-Materials-FINALv2_050121.docx" TargetMode="External"/><Relationship Id="rId67" Type="http://schemas.openxmlformats.org/officeDocument/2006/relationships/hyperlink" Target="https://holex.org.uk/wp-content/uploads/2020/10/Annex-7-The-DfE-evaluation-criteria-for-its-Skills-Toolkit-courses.docx" TargetMode="External"/><Relationship Id="rId20" Type="http://schemas.openxmlformats.org/officeDocument/2006/relationships/hyperlink" Target="https://holex.org.uk/wp-content/uploads/Digital_ACE/01_Policy/Annex-8-Southend-Community-College-Video-Conference-Policy.docx" TargetMode="External"/><Relationship Id="rId41" Type="http://schemas.openxmlformats.org/officeDocument/2006/relationships/hyperlink" Target="https://holex.org.uk/wp-content/uploads/2020/10/Annex-12-ACL-Essex-Netiquette-online-courses.docx" TargetMode="External"/><Relationship Id="rId54" Type="http://schemas.openxmlformats.org/officeDocument/2006/relationships/hyperlink" Target="http://www.worcestershire.gov.uk/sculpt" TargetMode="External"/><Relationship Id="rId62" Type="http://schemas.openxmlformats.org/officeDocument/2006/relationships/hyperlink" Target="https://holex.org.uk/wp-content/uploads/2020/10/Annex-2-Learn-Harrow-survey-questions-to-teaching-staff.docx" TargetMode="External"/><Relationship Id="rId70" Type="http://schemas.openxmlformats.org/officeDocument/2006/relationships/hyperlink" Target="https://holex.org.uk/wp-content/uploads/2020/10/Annex-10-Learn-Harrow-quality-measures-for-Covid-19.docx" TargetMode="External"/><Relationship Id="rId75" Type="http://schemas.openxmlformats.org/officeDocument/2006/relationships/hyperlink" Target="https://holex.org.uk/wp-content/uploads/2020/10/Annex-1-Checklist-ground-rules-online-learning.docx" TargetMode="External"/><Relationship Id="rId83" Type="http://schemas.openxmlformats.org/officeDocument/2006/relationships/hyperlink" Target="https://holex.org.uk/wp-content/uploads/2020/10/Case-Study-6-Delivery-online-learning-ESOL-literacy-Maths-basic-skills.docx" TargetMode="External"/><Relationship Id="rId88" Type="http://schemas.openxmlformats.org/officeDocument/2006/relationships/hyperlink" Target="https://holex.org.uk/underpinning-technology/" TargetMode="External"/><Relationship Id="rId91" Type="http://schemas.openxmlformats.org/officeDocument/2006/relationships/hyperlink" Target="https://holex.org.uk/wp-content/uploads/2020/10/Annex-1-Learning-Technology-Evaluation-TEMPLATE.docx" TargetMode="External"/><Relationship Id="rId96" Type="http://schemas.openxmlformats.org/officeDocument/2006/relationships/hyperlink" Target="https://holex.org.uk/wp-content/uploads/2020/11/Digital-ACE-Top-tips.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olex.org.uk/wp-content/uploads/Digital_ACE/01_Policy/Annex-3-Southend-Adult-Community-College-Digital-Mission-and-Values.pptx" TargetMode="External"/><Relationship Id="rId23" Type="http://schemas.openxmlformats.org/officeDocument/2006/relationships/hyperlink" Target="https://holex.org.uk/wp-content/uploads/Digital_ACE/01_Policy/Annex-11A-ACL-Essex-Remote-Learning-Policy-Policy-implementation-for-ACL-staff.docx" TargetMode="External"/><Relationship Id="rId28" Type="http://schemas.openxmlformats.org/officeDocument/2006/relationships/hyperlink" Target="https://holex.org.uk/wp-content/uploads/2020/10/Digital-ACE-Safeguard-Prevent-Guidance-Materials-FINAL_06Oct20.docx" TargetMode="External"/><Relationship Id="rId36" Type="http://schemas.openxmlformats.org/officeDocument/2006/relationships/hyperlink" Target="https://holex.org.uk/wp-content/uploads/2020/10/Annex-7-Southend-Safeguarding-tips-safe-online.docx" TargetMode="External"/><Relationship Id="rId49" Type="http://schemas.openxmlformats.org/officeDocument/2006/relationships/hyperlink" Target="https://holex.org.uk/wp-content/uploads/2020/10/Annex-4-Newcastle-Online-pedagogy-and-sharing-practice.pptx" TargetMode="External"/><Relationship Id="rId57" Type="http://schemas.openxmlformats.org/officeDocument/2006/relationships/hyperlink" Target="https://holex.org.uk/digital-ace-quality-assurance/" TargetMode="External"/><Relationship Id="rId10" Type="http://schemas.openxmlformats.org/officeDocument/2006/relationships/hyperlink" Target="https://holex.org.uk/digital-ace-policy-guidance/" TargetMode="External"/><Relationship Id="rId31" Type="http://schemas.openxmlformats.org/officeDocument/2006/relationships/hyperlink" Target="https://holex.org.uk/wp-content/uploads/2020/10/Annex-2-Southend-Safeguarding-Policy-Addendum.docx" TargetMode="External"/><Relationship Id="rId44" Type="http://schemas.openxmlformats.org/officeDocument/2006/relationships/hyperlink" Target="https://holex.org.uk/wp-content/uploads/2020/10/Digital-ACE-Develop-Resources-guidance-FINAL09Oct20.docx" TargetMode="External"/><Relationship Id="rId52" Type="http://schemas.openxmlformats.org/officeDocument/2006/relationships/hyperlink" Target="https://holex.org.uk/wp-content/uploads/2020/10/Annex-7-Newcastle-Copyright-guide.pptx" TargetMode="External"/><Relationship Id="rId60" Type="http://schemas.openxmlformats.org/officeDocument/2006/relationships/hyperlink" Target="https://holex.org.uk/wp-content/uploads/2021/01/Digital-ACE-Quality-Asssurance-Guidance-Materials-FINAL-v2-050121.pdf%20" TargetMode="External"/><Relationship Id="rId65" Type="http://schemas.openxmlformats.org/officeDocument/2006/relationships/hyperlink" Target="https://holex.org.uk/wp-content/uploads/2020/10/Annex-5-ACL-Essex-survey-to-learners.docx" TargetMode="External"/><Relationship Id="rId73" Type="http://schemas.openxmlformats.org/officeDocument/2006/relationships/hyperlink" Target="https://holex.org.uk/wp-content/uploads/2020/11/Digital-ACE-Low-skilled-Learners-Guidance-FINAL-21Oct20v1.1.docx" TargetMode="External"/><Relationship Id="rId78" Type="http://schemas.openxmlformats.org/officeDocument/2006/relationships/hyperlink" Target="https://holex.org.uk/wp-content/uploads/2020/10/Case-Study-1-remote-learning-learners-low-level-digital-skills.docx" TargetMode="External"/><Relationship Id="rId81" Type="http://schemas.openxmlformats.org/officeDocument/2006/relationships/hyperlink" Target="https://holex.org.uk/wp-content/uploads/2020/10/Case-Study-4-Engaging-reluctant-ESOL-learners-online-delivery.docx" TargetMode="External"/><Relationship Id="rId86" Type="http://schemas.openxmlformats.org/officeDocument/2006/relationships/hyperlink" Target="https://holex.org.uk/wp-content/uploads/2020/10/Case-Study-9-Using-Zoom-Canvas-with-pre-entry-entry-ESOL.docx" TargetMode="External"/><Relationship Id="rId94" Type="http://schemas.openxmlformats.org/officeDocument/2006/relationships/hyperlink" Target="https://holex.org.uk/wp-content/uploads/2020/10/Annex-4-Example-resources-from-GSuite-for-Education.docx"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olex.org.uk/digital-ace/" TargetMode="External"/><Relationship Id="rId13" Type="http://schemas.openxmlformats.org/officeDocument/2006/relationships/hyperlink" Target="https://holex.org.uk/wp-content/uploads/2020/09/Annex-1-Carrying-out-a-need-analysis-1.docx" TargetMode="External"/><Relationship Id="rId18" Type="http://schemas.openxmlformats.org/officeDocument/2006/relationships/hyperlink" Target="https://holex.org.uk/wp-content/uploads/Digital_ACE/01_Policy/Annex-6-Barnsley-Adult-Family-Learnings-Acceptable-Use-Policy-Agreement-for-internet-email.docx" TargetMode="External"/><Relationship Id="rId39" Type="http://schemas.openxmlformats.org/officeDocument/2006/relationships/hyperlink" Target="https://holex.org.uk/wp-content/uploads/2020/10/Annex-10-Thurrock-ACC-staff-blog-working-onlin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8</Pages>
  <Words>3231</Words>
  <Characters>18420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mckenna</dc:creator>
  <cp:keywords/>
  <dc:description/>
  <cp:lastModifiedBy>charlie mckenna</cp:lastModifiedBy>
  <cp:revision>7</cp:revision>
  <dcterms:created xsi:type="dcterms:W3CDTF">2021-01-16T15:28:00Z</dcterms:created>
  <dcterms:modified xsi:type="dcterms:W3CDTF">2021-01-16T17:04:00Z</dcterms:modified>
</cp:coreProperties>
</file>