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5F14" w14:textId="40111D11" w:rsidR="00D66CA8" w:rsidRDefault="00D66CA8" w:rsidP="00D66CA8">
      <w:pPr>
        <w:pStyle w:val="DAAnnexes"/>
      </w:pPr>
      <w:bookmarkStart w:id="0" w:name="_Toc50720250"/>
      <w:bookmarkStart w:id="1" w:name="_Toc51918756"/>
      <w:bookmarkStart w:id="2" w:name="Annex_1"/>
      <w:r>
        <w:rPr>
          <w:rFonts w:eastAsia="Times New Roman"/>
          <w:b w:val="0"/>
          <w:bCs w:val="0"/>
          <w:noProof/>
        </w:rPr>
        <w:drawing>
          <wp:anchor distT="0" distB="0" distL="114300" distR="114300" simplePos="0" relativeHeight="251664384" behindDoc="0" locked="0" layoutInCell="1" allowOverlap="1" wp14:anchorId="3496143B" wp14:editId="3E13F64C">
            <wp:simplePos x="0" y="0"/>
            <wp:positionH relativeFrom="column">
              <wp:posOffset>3229187</wp:posOffset>
            </wp:positionH>
            <wp:positionV relativeFrom="paragraph">
              <wp:posOffset>-192193</wp:posOffset>
            </wp:positionV>
            <wp:extent cx="1418021" cy="618067"/>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8021" cy="618067"/>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62336" behindDoc="0" locked="0" layoutInCell="1" allowOverlap="1" wp14:anchorId="16AEC084" wp14:editId="264554C5">
            <wp:simplePos x="0" y="0"/>
            <wp:positionH relativeFrom="column">
              <wp:posOffset>4800063</wp:posOffset>
            </wp:positionH>
            <wp:positionV relativeFrom="paragraph">
              <wp:posOffset>-227118</wp:posOffset>
            </wp:positionV>
            <wp:extent cx="1667835" cy="520700"/>
            <wp:effectExtent l="0" t="0" r="8890" b="0"/>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317" cy="527095"/>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Policy Guidance </w:t>
      </w:r>
      <w:r w:rsidRPr="00D66CA8">
        <w:t>Materials</w:t>
      </w:r>
    </w:p>
    <w:p w14:paraId="40C47C4A" w14:textId="50A8640A" w:rsidR="00D66CA8" w:rsidRDefault="00D66CA8" w:rsidP="00D66CA8">
      <w:pPr>
        <w:pStyle w:val="DAAnnexes"/>
      </w:pPr>
    </w:p>
    <w:p w14:paraId="6CA2C85F" w14:textId="49E6ABBD" w:rsidR="00A71998" w:rsidRDefault="00A71998" w:rsidP="00A71998">
      <w:pPr>
        <w:pStyle w:val="DAAnnexes"/>
      </w:pPr>
      <w:bookmarkStart w:id="3" w:name="_Toc51918760"/>
      <w:bookmarkEnd w:id="0"/>
      <w:bookmarkEnd w:id="1"/>
      <w:bookmarkEnd w:id="2"/>
      <w:r w:rsidRPr="00F762F1">
        <w:t>Annex 5</w:t>
      </w:r>
    </w:p>
    <w:p w14:paraId="2FE7D82D" w14:textId="77777777" w:rsidR="00A71998" w:rsidRDefault="00A71998" w:rsidP="00A71998">
      <w:pPr>
        <w:pStyle w:val="DAAnnexes"/>
      </w:pPr>
    </w:p>
    <w:p w14:paraId="54A99D1E" w14:textId="3BEDE145" w:rsidR="00A71998" w:rsidRDefault="00A71998" w:rsidP="00A71998">
      <w:pPr>
        <w:pStyle w:val="DAAnnexes"/>
      </w:pPr>
      <w:r w:rsidRPr="00F762F1">
        <w:t>Further examples of visions and policy goals for digital ACE</w:t>
      </w:r>
      <w:bookmarkEnd w:id="3"/>
    </w:p>
    <w:p w14:paraId="09FD76DF" w14:textId="77777777" w:rsidR="00A71998" w:rsidRDefault="00A71998" w:rsidP="00A71998">
      <w:pPr>
        <w:pStyle w:val="DAAnnexes"/>
      </w:pPr>
    </w:p>
    <w:tbl>
      <w:tblPr>
        <w:tblStyle w:val="TableGrid"/>
        <w:tblW w:w="0" w:type="auto"/>
        <w:tblLook w:val="04A0" w:firstRow="1" w:lastRow="0" w:firstColumn="1" w:lastColumn="0" w:noHBand="0" w:noVBand="1"/>
      </w:tblPr>
      <w:tblGrid>
        <w:gridCol w:w="9011"/>
      </w:tblGrid>
      <w:tr w:rsidR="00A71998" w14:paraId="7D07CF42" w14:textId="77777777" w:rsidTr="00672D59">
        <w:tc>
          <w:tcPr>
            <w:tcW w:w="9011" w:type="dxa"/>
          </w:tcPr>
          <w:p w14:paraId="5BC5FCDC" w14:textId="77777777" w:rsidR="00A71998" w:rsidRDefault="00A71998" w:rsidP="00672D59">
            <w:pPr>
              <w:spacing w:after="120"/>
              <w:rPr>
                <w:rFonts w:ascii="Arial" w:eastAsia="Times New Roman" w:hAnsi="Arial" w:cs="Arial"/>
                <w:b/>
                <w:bCs/>
                <w:noProof/>
                <w:lang w:eastAsia="en-GB"/>
              </w:rPr>
            </w:pPr>
            <w:r w:rsidRPr="00CB5AB5">
              <w:rPr>
                <w:rStyle w:val="ReferencelinkChar"/>
                <w:rFonts w:eastAsiaTheme="minorHAnsi"/>
              </w:rPr>
              <w:t>Thurrock Adult Community College’s</w:t>
            </w:r>
            <w:r>
              <w:rPr>
                <w:rFonts w:ascii="Arial" w:eastAsia="Times New Roman" w:hAnsi="Arial" w:cs="Arial"/>
              </w:rPr>
              <w:t xml:space="preserve"> </w:t>
            </w:r>
            <w:r w:rsidRPr="00CB5AB5">
              <w:rPr>
                <w:rStyle w:val="ReferencelinkChar"/>
                <w:rFonts w:eastAsiaTheme="minorHAnsi"/>
              </w:rPr>
              <w:t>digital vision</w:t>
            </w:r>
            <w:r>
              <w:rPr>
                <w:rFonts w:ascii="Arial" w:eastAsia="Times New Roman" w:hAnsi="Arial" w:cs="Arial"/>
                <w:b/>
                <w:bCs/>
                <w:noProof/>
                <w:lang w:eastAsia="en-GB"/>
              </w:rPr>
              <w:t xml:space="preserve">                                                 </w:t>
            </w:r>
          </w:p>
          <w:p w14:paraId="5582786F" w14:textId="77777777" w:rsidR="00A71998" w:rsidRPr="00CB495D" w:rsidRDefault="00A71998" w:rsidP="00672D59">
            <w:pPr>
              <w:spacing w:after="120"/>
              <w:rPr>
                <w:rFonts w:ascii="Arial" w:eastAsia="Times New Roman" w:hAnsi="Arial" w:cs="Arial"/>
                <w:noProof/>
                <w:lang w:eastAsia="en-GB"/>
              </w:rPr>
            </w:pPr>
            <w:r w:rsidRPr="00CB495D">
              <w:rPr>
                <w:rFonts w:ascii="Arial" w:eastAsia="Times New Roman" w:hAnsi="Arial" w:cs="Arial"/>
                <w:noProof/>
                <w:lang w:eastAsia="en-GB"/>
              </w:rPr>
              <w:t>Technology is fully embedded in everything that we do to enhance the experience of learners and make sure they achieve their full potential.</w:t>
            </w:r>
          </w:p>
          <w:p w14:paraId="0953257A" w14:textId="77777777" w:rsidR="00A71998" w:rsidRPr="00CB495D" w:rsidRDefault="00A71998" w:rsidP="00672D59">
            <w:pPr>
              <w:pStyle w:val="DANavybullet"/>
              <w:rPr>
                <w:noProof/>
              </w:rPr>
            </w:pPr>
            <w:r w:rsidRPr="00CB495D">
              <w:rPr>
                <w:noProof/>
              </w:rPr>
              <w:t>Embedding technology in ways that create an inspiring and innovative environment for learners to succeed</w:t>
            </w:r>
          </w:p>
          <w:p w14:paraId="55D1630E" w14:textId="77777777" w:rsidR="00A71998" w:rsidRPr="00CB495D" w:rsidRDefault="00A71998" w:rsidP="00672D59">
            <w:pPr>
              <w:pStyle w:val="DANavybullet"/>
              <w:rPr>
                <w:noProof/>
              </w:rPr>
            </w:pPr>
            <w:r w:rsidRPr="00CB495D">
              <w:rPr>
                <w:noProof/>
              </w:rPr>
              <w:t>Staff are aware of and embrace the opportunities that technology offers</w:t>
            </w:r>
          </w:p>
          <w:p w14:paraId="5CD1F098" w14:textId="77777777" w:rsidR="00A71998" w:rsidRPr="00053D4B" w:rsidRDefault="00A71998" w:rsidP="00672D59">
            <w:pPr>
              <w:pStyle w:val="DANavybullet"/>
              <w:rPr>
                <w:noProof/>
              </w:rPr>
            </w:pPr>
            <w:r w:rsidRPr="00CB495D">
              <w:rPr>
                <w:noProof/>
              </w:rPr>
              <w:t>To be ambitious and at the leading edge of sector developments</w:t>
            </w:r>
          </w:p>
        </w:tc>
      </w:tr>
    </w:tbl>
    <w:p w14:paraId="2FA7013A" w14:textId="77777777" w:rsidR="00A71998" w:rsidRDefault="00A71998" w:rsidP="00A71998">
      <w:pPr>
        <w:spacing w:after="120"/>
        <w:rPr>
          <w:rFonts w:ascii="Arial" w:eastAsia="Times New Roman" w:hAnsi="Arial" w:cs="Arial"/>
        </w:rPr>
      </w:pPr>
      <w:r>
        <w:rPr>
          <w:rFonts w:ascii="Arial" w:eastAsia="Times New Roman" w:hAnsi="Arial" w:cs="Arial"/>
          <w:noProof/>
          <w:lang w:eastAsia="en-GB"/>
        </w:rPr>
        <w:t xml:space="preserve">   </w:t>
      </w:r>
    </w:p>
    <w:tbl>
      <w:tblPr>
        <w:tblStyle w:val="TableGrid"/>
        <w:tblW w:w="0" w:type="auto"/>
        <w:tblLook w:val="04A0" w:firstRow="1" w:lastRow="0" w:firstColumn="1" w:lastColumn="0" w:noHBand="0" w:noVBand="1"/>
      </w:tblPr>
      <w:tblGrid>
        <w:gridCol w:w="9011"/>
      </w:tblGrid>
      <w:tr w:rsidR="00A71998" w14:paraId="5507BBE3" w14:textId="77777777" w:rsidTr="00672D59">
        <w:tc>
          <w:tcPr>
            <w:tcW w:w="9011" w:type="dxa"/>
          </w:tcPr>
          <w:p w14:paraId="34E6D76D" w14:textId="77777777" w:rsidR="00A71998" w:rsidRDefault="00A71998" w:rsidP="00672D59">
            <w:pPr>
              <w:pStyle w:val="Default"/>
            </w:pPr>
            <w:r w:rsidRPr="00CB5AB5">
              <w:rPr>
                <w:rStyle w:val="ReferencelinkChar"/>
                <w:rFonts w:eastAsiaTheme="minorHAnsi"/>
              </w:rPr>
              <w:t>ACL Essex</w:t>
            </w:r>
            <w:r w:rsidRPr="000C5513">
              <w:t xml:space="preserve"> identified</w:t>
            </w:r>
            <w:r w:rsidRPr="009E79B8">
              <w:t xml:space="preserve"> these </w:t>
            </w:r>
            <w:r w:rsidRPr="00CB5AB5">
              <w:rPr>
                <w:rStyle w:val="ReferencelinkChar"/>
                <w:rFonts w:eastAsiaTheme="minorHAnsi"/>
              </w:rPr>
              <w:t>overall policy goals</w:t>
            </w:r>
            <w:r w:rsidRPr="009E79B8">
              <w:t xml:space="preserve"> to inform its </w:t>
            </w:r>
            <w:r>
              <w:t xml:space="preserve">previous </w:t>
            </w:r>
            <w:r w:rsidRPr="009E79B8">
              <w:t>digital strategy:</w:t>
            </w:r>
          </w:p>
          <w:p w14:paraId="16E343C5" w14:textId="77777777" w:rsidR="00A71998" w:rsidRPr="009E79B8" w:rsidRDefault="00A71998" w:rsidP="00672D59">
            <w:pPr>
              <w:pStyle w:val="Default"/>
            </w:pPr>
          </w:p>
          <w:p w14:paraId="27ABA7DF" w14:textId="77777777" w:rsidR="00A71998" w:rsidRPr="009E79B8" w:rsidRDefault="00A71998" w:rsidP="00672D59">
            <w:pPr>
              <w:pStyle w:val="DANavybullet"/>
            </w:pPr>
            <w:r w:rsidRPr="009E79B8">
              <w:t xml:space="preserve">Enhance Student/Apprentice Experience with the development of a flexible Digital Learning Platform infrastructure. </w:t>
            </w:r>
          </w:p>
          <w:p w14:paraId="7F53DE8A" w14:textId="77777777" w:rsidR="00A71998" w:rsidRPr="009E79B8" w:rsidRDefault="00A71998" w:rsidP="00672D59">
            <w:pPr>
              <w:pStyle w:val="DANavybullet"/>
            </w:pPr>
            <w:r w:rsidRPr="009E79B8">
              <w:t xml:space="preserve">Build digital expertise within the staff base through CPD and </w:t>
            </w:r>
            <w:r>
              <w:t>t</w:t>
            </w:r>
            <w:r w:rsidRPr="009E79B8">
              <w:t xml:space="preserve">eam-teaching so as to effectively embed Digital Skills within all curriculum areas, utilising innovative resources. </w:t>
            </w:r>
          </w:p>
          <w:p w14:paraId="4F8D4DBE" w14:textId="77777777" w:rsidR="00A71998" w:rsidRDefault="00A71998" w:rsidP="00672D59">
            <w:pPr>
              <w:pStyle w:val="DANavybullet"/>
            </w:pPr>
            <w:r w:rsidRPr="009E79B8">
              <w:t xml:space="preserve">Create stronger communities and tackle social isolation through relevant and contextualised curriculum provision that facilitates digital inclusion. Also supporting greater access to local public services, as per The Local Digital Declaration. </w:t>
            </w:r>
          </w:p>
          <w:p w14:paraId="7AEC445E" w14:textId="77777777" w:rsidR="00A71998" w:rsidRPr="00CB5AB5" w:rsidRDefault="00A71998" w:rsidP="00672D59">
            <w:pPr>
              <w:pStyle w:val="DANavybullet"/>
            </w:pPr>
            <w:r w:rsidRPr="00CB5AB5">
              <w:t>Supporting the needs of local businesses through facilitating a skilled and digitally confident workforce.</w:t>
            </w:r>
          </w:p>
        </w:tc>
      </w:tr>
    </w:tbl>
    <w:p w14:paraId="24BFE97B" w14:textId="77777777" w:rsidR="00A71998" w:rsidRDefault="00A71998" w:rsidP="00A71998">
      <w:pPr>
        <w:spacing w:after="120"/>
        <w:rPr>
          <w:rFonts w:ascii="Arial" w:eastAsia="Times New Roman" w:hAnsi="Arial" w:cs="Arial"/>
        </w:rPr>
      </w:pPr>
    </w:p>
    <w:tbl>
      <w:tblPr>
        <w:tblStyle w:val="TableGrid"/>
        <w:tblW w:w="0" w:type="auto"/>
        <w:tblLook w:val="04A0" w:firstRow="1" w:lastRow="0" w:firstColumn="1" w:lastColumn="0" w:noHBand="0" w:noVBand="1"/>
      </w:tblPr>
      <w:tblGrid>
        <w:gridCol w:w="8790"/>
      </w:tblGrid>
      <w:tr w:rsidR="00A71998" w14:paraId="01119117" w14:textId="77777777" w:rsidTr="00672D59">
        <w:tc>
          <w:tcPr>
            <w:tcW w:w="8790" w:type="dxa"/>
          </w:tcPr>
          <w:p w14:paraId="716CCA61" w14:textId="77777777" w:rsidR="00A71998" w:rsidRPr="00CB5AB5" w:rsidRDefault="00A71998" w:rsidP="00672D59">
            <w:pPr>
              <w:pStyle w:val="Referencelink"/>
              <w:rPr>
                <w:color w:val="auto"/>
              </w:rPr>
            </w:pPr>
            <w:r w:rsidRPr="00CB5AB5">
              <w:rPr>
                <w:rStyle w:val="ReferencelinkChar"/>
              </w:rPr>
              <w:t>London Borough of Sutton</w:t>
            </w:r>
            <w:r w:rsidRPr="000C5513">
              <w:t xml:space="preserve"> and the </w:t>
            </w:r>
            <w:r w:rsidRPr="00CB5AB5">
              <w:rPr>
                <w:rStyle w:val="ReferencelinkChar"/>
              </w:rPr>
              <w:t>Royal Borough of Kingston Upon Thames</w:t>
            </w:r>
            <w:r w:rsidRPr="000C5513">
              <w:t xml:space="preserve"> use the acronym</w:t>
            </w:r>
            <w:r>
              <w:t xml:space="preserve"> </w:t>
            </w:r>
            <w:r w:rsidRPr="00CB5AB5">
              <w:t>S-E-R-V-I-C-E:</w:t>
            </w:r>
          </w:p>
          <w:p w14:paraId="759CDC01" w14:textId="77777777" w:rsidR="00A71998" w:rsidRPr="00CB5AB5" w:rsidRDefault="00A71998" w:rsidP="00672D59">
            <w:pPr>
              <w:pStyle w:val="Referencelink"/>
              <w:rPr>
                <w:color w:val="auto"/>
              </w:rPr>
            </w:pPr>
            <w:r w:rsidRPr="00CB5AB5">
              <w:rPr>
                <w:color w:val="auto"/>
              </w:rPr>
              <w:t>Our vision is informed by the following principles:</w:t>
            </w:r>
          </w:p>
          <w:p w14:paraId="1DB0FA71" w14:textId="77777777" w:rsidR="00A71998" w:rsidRPr="009E79B8" w:rsidRDefault="00A71998" w:rsidP="00672D59">
            <w:pPr>
              <w:autoSpaceDE w:val="0"/>
              <w:autoSpaceDN w:val="0"/>
              <w:adjustRightInd w:val="0"/>
              <w:spacing w:after="120"/>
              <w:ind w:left="720"/>
              <w:rPr>
                <w:rFonts w:ascii="Arial" w:hAnsi="Arial" w:cs="Arial"/>
              </w:rPr>
            </w:pPr>
            <w:r w:rsidRPr="009E79B8">
              <w:rPr>
                <w:rFonts w:ascii="Arial" w:eastAsia="ArialMT" w:hAnsi="Arial" w:cs="Arial"/>
              </w:rPr>
              <w:t xml:space="preserve">● </w:t>
            </w:r>
            <w:r w:rsidRPr="009E79B8">
              <w:rPr>
                <w:rFonts w:ascii="Arial" w:hAnsi="Arial" w:cs="Arial"/>
                <w:b/>
                <w:bCs/>
              </w:rPr>
              <w:t>S</w:t>
            </w:r>
            <w:r w:rsidRPr="009E79B8">
              <w:rPr>
                <w:rFonts w:ascii="Arial" w:hAnsi="Arial" w:cs="Arial"/>
              </w:rPr>
              <w:t>hape demand -redirect resources to where they are most needed</w:t>
            </w:r>
          </w:p>
          <w:p w14:paraId="29848011" w14:textId="77777777" w:rsidR="00A71998" w:rsidRPr="009E79B8" w:rsidRDefault="00A71998" w:rsidP="00672D59">
            <w:pPr>
              <w:autoSpaceDE w:val="0"/>
              <w:autoSpaceDN w:val="0"/>
              <w:adjustRightInd w:val="0"/>
              <w:spacing w:after="120"/>
              <w:ind w:left="720"/>
              <w:rPr>
                <w:rFonts w:ascii="Arial" w:hAnsi="Arial" w:cs="Arial"/>
              </w:rPr>
            </w:pPr>
            <w:r w:rsidRPr="009E79B8">
              <w:rPr>
                <w:rFonts w:ascii="Arial" w:eastAsia="ArialMT" w:hAnsi="Arial" w:cs="Arial"/>
              </w:rPr>
              <w:t xml:space="preserve">● </w:t>
            </w:r>
            <w:r w:rsidRPr="009E79B8">
              <w:rPr>
                <w:rFonts w:ascii="Arial" w:hAnsi="Arial" w:cs="Arial"/>
                <w:b/>
                <w:bCs/>
              </w:rPr>
              <w:t>E</w:t>
            </w:r>
            <w:r w:rsidRPr="009E79B8">
              <w:rPr>
                <w:rFonts w:ascii="Arial" w:hAnsi="Arial" w:cs="Arial"/>
              </w:rPr>
              <w:t>ngage with communities and businesses – using digital platforms</w:t>
            </w:r>
          </w:p>
          <w:p w14:paraId="5B31DCCC" w14:textId="77777777" w:rsidR="00A71998" w:rsidRPr="009E79B8" w:rsidRDefault="00A71998" w:rsidP="00672D59">
            <w:pPr>
              <w:autoSpaceDE w:val="0"/>
              <w:autoSpaceDN w:val="0"/>
              <w:adjustRightInd w:val="0"/>
              <w:spacing w:after="120"/>
              <w:ind w:left="720"/>
              <w:rPr>
                <w:rFonts w:ascii="Arial" w:hAnsi="Arial" w:cs="Arial"/>
              </w:rPr>
            </w:pPr>
            <w:r w:rsidRPr="009E79B8">
              <w:rPr>
                <w:rFonts w:ascii="Arial" w:eastAsia="ArialMT" w:hAnsi="Arial" w:cs="Arial"/>
              </w:rPr>
              <w:t xml:space="preserve">● </w:t>
            </w:r>
            <w:r w:rsidRPr="009E79B8">
              <w:rPr>
                <w:rFonts w:ascii="Arial" w:hAnsi="Arial" w:cs="Arial"/>
                <w:b/>
                <w:bCs/>
              </w:rPr>
              <w:t>R</w:t>
            </w:r>
            <w:r w:rsidRPr="009E79B8">
              <w:rPr>
                <w:rFonts w:ascii="Arial" w:hAnsi="Arial" w:cs="Arial"/>
              </w:rPr>
              <w:t>esilience -delivering fit for purpose infrastructure for the future</w:t>
            </w:r>
          </w:p>
          <w:p w14:paraId="22F06909" w14:textId="77777777" w:rsidR="00A71998" w:rsidRPr="009E79B8" w:rsidRDefault="00A71998" w:rsidP="00672D59">
            <w:pPr>
              <w:autoSpaceDE w:val="0"/>
              <w:autoSpaceDN w:val="0"/>
              <w:adjustRightInd w:val="0"/>
              <w:spacing w:after="120"/>
              <w:ind w:left="720"/>
              <w:rPr>
                <w:rFonts w:ascii="Arial" w:hAnsi="Arial" w:cs="Arial"/>
              </w:rPr>
            </w:pPr>
            <w:r w:rsidRPr="009E79B8">
              <w:rPr>
                <w:rFonts w:ascii="Arial" w:eastAsia="ArialMT" w:hAnsi="Arial" w:cs="Arial"/>
              </w:rPr>
              <w:t xml:space="preserve">● </w:t>
            </w:r>
            <w:r w:rsidRPr="009E79B8">
              <w:rPr>
                <w:rFonts w:ascii="Arial" w:hAnsi="Arial" w:cs="Arial"/>
                <w:b/>
                <w:bCs/>
              </w:rPr>
              <w:t>V</w:t>
            </w:r>
            <w:r w:rsidRPr="009E79B8">
              <w:rPr>
                <w:rFonts w:ascii="Arial" w:hAnsi="Arial" w:cs="Arial"/>
              </w:rPr>
              <w:t>FM-</w:t>
            </w:r>
            <w:r>
              <w:rPr>
                <w:rFonts w:ascii="Arial" w:hAnsi="Arial" w:cs="Arial"/>
              </w:rPr>
              <w:t xml:space="preserve"> value for money - </w:t>
            </w:r>
            <w:r w:rsidRPr="009E79B8">
              <w:rPr>
                <w:rFonts w:ascii="Arial" w:hAnsi="Arial" w:cs="Arial"/>
              </w:rPr>
              <w:t>delivering cost effective services</w:t>
            </w:r>
          </w:p>
          <w:p w14:paraId="7BFA3976" w14:textId="77777777" w:rsidR="00A71998" w:rsidRPr="009E79B8" w:rsidRDefault="00A71998" w:rsidP="00672D59">
            <w:pPr>
              <w:autoSpaceDE w:val="0"/>
              <w:autoSpaceDN w:val="0"/>
              <w:adjustRightInd w:val="0"/>
              <w:spacing w:after="120"/>
              <w:ind w:left="720"/>
              <w:rPr>
                <w:rFonts w:ascii="Arial" w:hAnsi="Arial" w:cs="Arial"/>
              </w:rPr>
            </w:pPr>
            <w:r w:rsidRPr="009E79B8">
              <w:rPr>
                <w:rFonts w:ascii="Arial" w:eastAsia="ArialMT" w:hAnsi="Arial" w:cs="Arial"/>
              </w:rPr>
              <w:t xml:space="preserve">● </w:t>
            </w:r>
            <w:r w:rsidRPr="009E79B8">
              <w:rPr>
                <w:rFonts w:ascii="Arial" w:hAnsi="Arial" w:cs="Arial"/>
                <w:b/>
                <w:bCs/>
              </w:rPr>
              <w:t>I</w:t>
            </w:r>
            <w:r w:rsidRPr="009E79B8">
              <w:rPr>
                <w:rFonts w:ascii="Arial" w:hAnsi="Arial" w:cs="Arial"/>
              </w:rPr>
              <w:t>nclusive (Digital) -included in everything we do</w:t>
            </w:r>
          </w:p>
          <w:p w14:paraId="497B50BD" w14:textId="77777777" w:rsidR="00A71998" w:rsidRPr="009E79B8" w:rsidRDefault="00A71998" w:rsidP="00672D59">
            <w:pPr>
              <w:autoSpaceDE w:val="0"/>
              <w:autoSpaceDN w:val="0"/>
              <w:adjustRightInd w:val="0"/>
              <w:spacing w:after="120"/>
              <w:ind w:left="720"/>
              <w:rPr>
                <w:rFonts w:ascii="Arial" w:hAnsi="Arial" w:cs="Arial"/>
              </w:rPr>
            </w:pPr>
            <w:r w:rsidRPr="009E79B8">
              <w:rPr>
                <w:rFonts w:ascii="Arial" w:eastAsia="ArialMT" w:hAnsi="Arial" w:cs="Arial"/>
              </w:rPr>
              <w:t xml:space="preserve">● </w:t>
            </w:r>
            <w:r w:rsidRPr="009E79B8">
              <w:rPr>
                <w:rFonts w:ascii="Arial" w:hAnsi="Arial" w:cs="Arial"/>
                <w:b/>
                <w:bCs/>
              </w:rPr>
              <w:t>C</w:t>
            </w:r>
            <w:r w:rsidRPr="009E79B8">
              <w:rPr>
                <w:rFonts w:ascii="Arial" w:hAnsi="Arial" w:cs="Arial"/>
              </w:rPr>
              <w:t>itizen focused - rather than service focus</w:t>
            </w:r>
          </w:p>
          <w:p w14:paraId="1AD539A8" w14:textId="77777777" w:rsidR="00A71998" w:rsidRDefault="00A71998" w:rsidP="00672D59">
            <w:pPr>
              <w:spacing w:after="120"/>
              <w:ind w:left="720"/>
              <w:rPr>
                <w:rFonts w:ascii="Arial" w:eastAsia="Times New Roman" w:hAnsi="Arial" w:cs="Arial"/>
              </w:rPr>
            </w:pPr>
            <w:r w:rsidRPr="009E79B8">
              <w:rPr>
                <w:rFonts w:ascii="Arial" w:eastAsia="ArialMT" w:hAnsi="Arial" w:cs="Arial"/>
              </w:rPr>
              <w:t xml:space="preserve">● </w:t>
            </w:r>
            <w:r w:rsidRPr="009E79B8">
              <w:rPr>
                <w:rFonts w:ascii="Arial" w:hAnsi="Arial" w:cs="Arial"/>
                <w:b/>
                <w:bCs/>
              </w:rPr>
              <w:t>E</w:t>
            </w:r>
            <w:r w:rsidRPr="009E79B8">
              <w:rPr>
                <w:rFonts w:ascii="Arial" w:hAnsi="Arial" w:cs="Arial"/>
              </w:rPr>
              <w:t>nable self service</w:t>
            </w:r>
          </w:p>
        </w:tc>
      </w:tr>
    </w:tbl>
    <w:p w14:paraId="19F7D588" w14:textId="77777777" w:rsidR="00A71998" w:rsidRDefault="00A71998" w:rsidP="00A71998"/>
    <w:p w14:paraId="4DDED3DE" w14:textId="77777777" w:rsidR="0033244E" w:rsidRPr="0033244E" w:rsidRDefault="0033244E" w:rsidP="0033244E">
      <w:pPr>
        <w:jc w:val="center"/>
      </w:pPr>
    </w:p>
    <w:sectPr w:rsidR="0033244E" w:rsidRPr="0033244E" w:rsidSect="0033244E">
      <w:footerReference w:type="default" r:id="rId9"/>
      <w:pgSz w:w="11906" w:h="16838"/>
      <w:pgMar w:top="851" w:right="849" w:bottom="1276" w:left="1440"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C6C76" w14:textId="77777777" w:rsidR="00BB75F9" w:rsidRDefault="00BB75F9" w:rsidP="00D66CA8">
      <w:r>
        <w:separator/>
      </w:r>
    </w:p>
  </w:endnote>
  <w:endnote w:type="continuationSeparator" w:id="0">
    <w:p w14:paraId="412F81AD" w14:textId="77777777" w:rsidR="00BB75F9" w:rsidRDefault="00BB75F9" w:rsidP="00D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353030"/>
      <w:docPartObj>
        <w:docPartGallery w:val="Page Numbers (Bottom of Page)"/>
        <w:docPartUnique/>
      </w:docPartObj>
    </w:sdtPr>
    <w:sdtEndPr>
      <w:rPr>
        <w:noProof/>
      </w:rPr>
    </w:sdtEndPr>
    <w:sdtContent>
      <w:p w14:paraId="7E39615F" w14:textId="53F5C65E" w:rsidR="0033244E" w:rsidRDefault="0033244E" w:rsidP="0033244E">
        <w:pPr>
          <w:pStyle w:val="Footer"/>
          <w:jc w:val="center"/>
        </w:pPr>
        <w:r w:rsidRPr="0033244E">
          <w:rPr>
            <w:rFonts w:ascii="Arial" w:hAnsi="Arial" w:cs="Arial"/>
            <w:sz w:val="20"/>
            <w:szCs w:val="20"/>
          </w:rPr>
          <w:fldChar w:fldCharType="begin"/>
        </w:r>
        <w:r w:rsidRPr="0033244E">
          <w:rPr>
            <w:rFonts w:ascii="Arial" w:hAnsi="Arial" w:cs="Arial"/>
            <w:sz w:val="20"/>
            <w:szCs w:val="20"/>
          </w:rPr>
          <w:instrText xml:space="preserve"> PAGE   \* MERGEFORMAT </w:instrText>
        </w:r>
        <w:r w:rsidRPr="0033244E">
          <w:rPr>
            <w:rFonts w:ascii="Arial" w:hAnsi="Arial" w:cs="Arial"/>
            <w:sz w:val="20"/>
            <w:szCs w:val="20"/>
          </w:rPr>
          <w:fldChar w:fldCharType="separate"/>
        </w:r>
        <w:r w:rsidRPr="0033244E">
          <w:rPr>
            <w:rFonts w:ascii="Arial" w:hAnsi="Arial" w:cs="Arial"/>
            <w:noProof/>
            <w:sz w:val="20"/>
            <w:szCs w:val="20"/>
          </w:rPr>
          <w:t>2</w:t>
        </w:r>
        <w:r w:rsidRPr="0033244E">
          <w:rPr>
            <w:rFonts w:ascii="Arial" w:hAnsi="Arial" w:cs="Arial"/>
            <w:noProof/>
            <w:sz w:val="20"/>
            <w:szCs w:val="20"/>
          </w:rPr>
          <w:fldChar w:fldCharType="end"/>
        </w:r>
      </w:p>
    </w:sdtContent>
  </w:sdt>
  <w:p w14:paraId="184DE058" w14:textId="2FEF8E3E" w:rsidR="00D66CA8" w:rsidRPr="00D66CA8" w:rsidRDefault="00D66CA8" w:rsidP="00D66CA8">
    <w:pPr>
      <w:rPr>
        <w:rFonts w:eastAsia="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FA760" w14:textId="77777777" w:rsidR="00BB75F9" w:rsidRDefault="00BB75F9" w:rsidP="00D66CA8">
      <w:r>
        <w:separator/>
      </w:r>
    </w:p>
  </w:footnote>
  <w:footnote w:type="continuationSeparator" w:id="0">
    <w:p w14:paraId="7116B1F2" w14:textId="77777777" w:rsidR="00BB75F9" w:rsidRDefault="00BB75F9" w:rsidP="00D6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FD1DAF"/>
    <w:multiLevelType w:val="hybridMultilevel"/>
    <w:tmpl w:val="093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8"/>
    <w:rsid w:val="00111013"/>
    <w:rsid w:val="002C1E63"/>
    <w:rsid w:val="0033244E"/>
    <w:rsid w:val="007B0A90"/>
    <w:rsid w:val="008171EB"/>
    <w:rsid w:val="0086739F"/>
    <w:rsid w:val="00A71998"/>
    <w:rsid w:val="00BB75F9"/>
    <w:rsid w:val="00C26699"/>
    <w:rsid w:val="00D66CA8"/>
    <w:rsid w:val="00F34013"/>
    <w:rsid w:val="00F61082"/>
    <w:rsid w:val="00FF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AF7D7"/>
  <w15:chartTrackingRefBased/>
  <w15:docId w15:val="{6B7C25D9-6BD9-463C-AA21-D267DFA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8"/>
    <w:pPr>
      <w:spacing w:after="0" w:line="240" w:lineRule="auto"/>
    </w:pPr>
    <w:rPr>
      <w:rFonts w:ascii="Helvetica" w:hAnsi="Helvetic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CA8"/>
    <w:pPr>
      <w:ind w:left="720"/>
      <w:contextualSpacing/>
    </w:pPr>
  </w:style>
  <w:style w:type="character" w:customStyle="1" w:styleId="ListParagraphChar">
    <w:name w:val="List Paragraph Char"/>
    <w:basedOn w:val="DefaultParagraphFont"/>
    <w:link w:val="ListParagraph"/>
    <w:uiPriority w:val="34"/>
    <w:rsid w:val="00D66CA8"/>
    <w:rPr>
      <w:rFonts w:ascii="Helvetica" w:hAnsi="Helvetica" w:cstheme="minorHAnsi"/>
      <w:sz w:val="24"/>
      <w:szCs w:val="24"/>
    </w:rPr>
  </w:style>
  <w:style w:type="paragraph" w:customStyle="1" w:styleId="Referencelink">
    <w:name w:val="Reference/link"/>
    <w:basedOn w:val="Normal"/>
    <w:link w:val="ReferencelinkChar"/>
    <w:qFormat/>
    <w:rsid w:val="00D66CA8"/>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D66CA8"/>
    <w:rPr>
      <w:rFonts w:ascii="Arial" w:eastAsia="Times New Roman" w:hAnsi="Arial" w:cs="Arial"/>
      <w:b/>
      <w:bCs/>
      <w:color w:val="2A2853"/>
      <w:sz w:val="24"/>
      <w:szCs w:val="24"/>
    </w:rPr>
  </w:style>
  <w:style w:type="paragraph" w:customStyle="1" w:styleId="DAbullet">
    <w:name w:val="DA bullet"/>
    <w:basedOn w:val="ListParagraph"/>
    <w:link w:val="DAbulletChar"/>
    <w:qFormat/>
    <w:rsid w:val="00D66CA8"/>
    <w:pPr>
      <w:numPr>
        <w:ilvl w:val="1"/>
        <w:numId w:val="2"/>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D66CA8"/>
    <w:rPr>
      <w:rFonts w:ascii="Arial" w:eastAsia="Times New Roman" w:hAnsi="Arial" w:cs="Arial"/>
      <w:sz w:val="24"/>
      <w:szCs w:val="24"/>
    </w:rPr>
  </w:style>
  <w:style w:type="paragraph" w:customStyle="1" w:styleId="DANavybullet">
    <w:name w:val="DA Navy bullet"/>
    <w:basedOn w:val="ListParagraph"/>
    <w:link w:val="DANavybulletChar"/>
    <w:qFormat/>
    <w:rsid w:val="00D66CA8"/>
    <w:pPr>
      <w:numPr>
        <w:numId w:val="1"/>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D66CA8"/>
    <w:rPr>
      <w:rFonts w:ascii="Arial" w:eastAsia="Times New Roman" w:hAnsi="Arial" w:cs="Arial"/>
      <w:sz w:val="24"/>
      <w:szCs w:val="24"/>
      <w:lang w:eastAsia="en-GB"/>
    </w:rPr>
  </w:style>
  <w:style w:type="paragraph" w:customStyle="1" w:styleId="DAAnnexes">
    <w:name w:val="DA Annexes"/>
    <w:basedOn w:val="Normal"/>
    <w:link w:val="DAAnnexesChar"/>
    <w:qFormat/>
    <w:rsid w:val="00D66CA8"/>
    <w:pPr>
      <w:tabs>
        <w:tab w:val="left" w:pos="0"/>
      </w:tabs>
      <w:autoSpaceDE w:val="0"/>
      <w:autoSpaceDN w:val="0"/>
      <w:adjustRightInd w:val="0"/>
      <w:spacing w:before="120" w:after="120"/>
      <w:contextualSpacing/>
    </w:pPr>
    <w:rPr>
      <w:rFonts w:ascii="Arial" w:hAnsi="Arial" w:cs="Arial"/>
      <w:b/>
      <w:bCs/>
      <w:color w:val="2A2853"/>
      <w:sz w:val="28"/>
      <w:szCs w:val="28"/>
    </w:rPr>
  </w:style>
  <w:style w:type="character" w:customStyle="1" w:styleId="DAAnnexesChar">
    <w:name w:val="DA Annexes Char"/>
    <w:basedOn w:val="DefaultParagraphFont"/>
    <w:link w:val="DAAnnexes"/>
    <w:rsid w:val="00D66CA8"/>
    <w:rPr>
      <w:rFonts w:ascii="Arial" w:hAnsi="Arial" w:cs="Arial"/>
      <w:b/>
      <w:bCs/>
      <w:color w:val="2A2853"/>
      <w:sz w:val="28"/>
      <w:szCs w:val="28"/>
    </w:rPr>
  </w:style>
  <w:style w:type="table" w:styleId="TableGrid">
    <w:name w:val="Table Grid"/>
    <w:basedOn w:val="TableNormal"/>
    <w:uiPriority w:val="59"/>
    <w:rsid w:val="00D66CA8"/>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CA8"/>
    <w:pPr>
      <w:tabs>
        <w:tab w:val="center" w:pos="4513"/>
        <w:tab w:val="right" w:pos="9026"/>
      </w:tabs>
    </w:pPr>
  </w:style>
  <w:style w:type="character" w:customStyle="1" w:styleId="HeaderChar">
    <w:name w:val="Header Char"/>
    <w:basedOn w:val="DefaultParagraphFont"/>
    <w:link w:val="Header"/>
    <w:uiPriority w:val="99"/>
    <w:rsid w:val="00D66CA8"/>
    <w:rPr>
      <w:rFonts w:ascii="Helvetica" w:hAnsi="Helvetica" w:cstheme="minorHAnsi"/>
      <w:sz w:val="24"/>
      <w:szCs w:val="24"/>
    </w:rPr>
  </w:style>
  <w:style w:type="paragraph" w:styleId="Footer">
    <w:name w:val="footer"/>
    <w:basedOn w:val="Normal"/>
    <w:link w:val="FooterChar"/>
    <w:uiPriority w:val="99"/>
    <w:unhideWhenUsed/>
    <w:rsid w:val="00D66CA8"/>
    <w:pPr>
      <w:tabs>
        <w:tab w:val="center" w:pos="4513"/>
        <w:tab w:val="right" w:pos="9026"/>
      </w:tabs>
    </w:pPr>
  </w:style>
  <w:style w:type="character" w:customStyle="1" w:styleId="FooterChar">
    <w:name w:val="Footer Char"/>
    <w:basedOn w:val="DefaultParagraphFont"/>
    <w:link w:val="Footer"/>
    <w:uiPriority w:val="99"/>
    <w:rsid w:val="00D66CA8"/>
    <w:rPr>
      <w:rFonts w:ascii="Helvetica" w:hAnsi="Helvetica" w:cstheme="minorHAnsi"/>
      <w:sz w:val="24"/>
      <w:szCs w:val="24"/>
    </w:rPr>
  </w:style>
  <w:style w:type="paragraph" w:customStyle="1" w:styleId="Default">
    <w:name w:val="Default"/>
    <w:rsid w:val="00A719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3</cp:revision>
  <dcterms:created xsi:type="dcterms:W3CDTF">2020-09-25T19:06:00Z</dcterms:created>
  <dcterms:modified xsi:type="dcterms:W3CDTF">2020-09-25T19:08:00Z</dcterms:modified>
</cp:coreProperties>
</file>