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5F14" w14:textId="40111D11" w:rsidR="00D66CA8" w:rsidRDefault="00D66CA8" w:rsidP="00D66CA8">
      <w:pPr>
        <w:pStyle w:val="DAAnnexes"/>
      </w:pPr>
      <w:bookmarkStart w:id="0" w:name="_Toc50720250"/>
      <w:bookmarkStart w:id="1" w:name="_Toc51918756"/>
      <w:bookmarkStart w:id="2" w:name="Annex_1"/>
      <w:r>
        <w:rPr>
          <w:rFonts w:eastAsia="Times New Roman"/>
          <w:b w:val="0"/>
          <w:bCs w:val="0"/>
          <w:noProof/>
        </w:rPr>
        <w:drawing>
          <wp:anchor distT="0" distB="0" distL="114300" distR="114300" simplePos="0" relativeHeight="251664384" behindDoc="0" locked="0" layoutInCell="1" allowOverlap="1" wp14:anchorId="3496143B" wp14:editId="3E13F64C">
            <wp:simplePos x="0" y="0"/>
            <wp:positionH relativeFrom="column">
              <wp:posOffset>3229187</wp:posOffset>
            </wp:positionH>
            <wp:positionV relativeFrom="paragraph">
              <wp:posOffset>-192193</wp:posOffset>
            </wp:positionV>
            <wp:extent cx="1418021" cy="618067"/>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8021" cy="618067"/>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62336" behindDoc="0" locked="0" layoutInCell="1" allowOverlap="1" wp14:anchorId="16AEC084" wp14:editId="264554C5">
            <wp:simplePos x="0" y="0"/>
            <wp:positionH relativeFrom="column">
              <wp:posOffset>4800063</wp:posOffset>
            </wp:positionH>
            <wp:positionV relativeFrom="paragraph">
              <wp:posOffset>-227118</wp:posOffset>
            </wp:positionV>
            <wp:extent cx="1667835" cy="520700"/>
            <wp:effectExtent l="0" t="0" r="8890" b="0"/>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8317" cy="527095"/>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Policy Guidance </w:t>
      </w:r>
      <w:r w:rsidRPr="00D66CA8">
        <w:t>Materials</w:t>
      </w:r>
    </w:p>
    <w:p w14:paraId="40C47C4A" w14:textId="77777777" w:rsidR="00D66CA8" w:rsidRDefault="00D66CA8" w:rsidP="00D66CA8">
      <w:pPr>
        <w:pStyle w:val="DAAnnexes"/>
      </w:pPr>
    </w:p>
    <w:p w14:paraId="1392B6F8" w14:textId="610B3996" w:rsidR="001E6805" w:rsidRDefault="00D66CA8" w:rsidP="00D66CA8">
      <w:pPr>
        <w:pStyle w:val="DAAnnexes"/>
      </w:pPr>
      <w:r w:rsidRPr="00D66CA8">
        <w:t xml:space="preserve">Annex </w:t>
      </w:r>
      <w:r w:rsidR="00A932F6">
        <w:t>7</w:t>
      </w:r>
    </w:p>
    <w:p w14:paraId="5B69240A" w14:textId="77777777" w:rsidR="001E6805" w:rsidRDefault="001E6805" w:rsidP="00D66CA8">
      <w:pPr>
        <w:pStyle w:val="DAAnnexes"/>
      </w:pPr>
    </w:p>
    <w:p w14:paraId="0E7C0D8E" w14:textId="68D41986" w:rsidR="00A932F6" w:rsidRPr="009E79B8" w:rsidRDefault="00A932F6" w:rsidP="00A932F6">
      <w:pPr>
        <w:pStyle w:val="DAAnnexes"/>
      </w:pPr>
      <w:bookmarkStart w:id="3" w:name="_Toc50720256"/>
      <w:bookmarkStart w:id="4" w:name="_Toc51918762"/>
      <w:bookmarkStart w:id="5" w:name="Annex_7"/>
      <w:bookmarkEnd w:id="0"/>
      <w:bookmarkEnd w:id="1"/>
      <w:bookmarkEnd w:id="2"/>
      <w:r w:rsidRPr="009E79B8">
        <w:t>Thurrock Adult Community College’s Learner Digital Entitlement</w:t>
      </w:r>
      <w:bookmarkEnd w:id="3"/>
      <w:bookmarkEnd w:id="4"/>
    </w:p>
    <w:tbl>
      <w:tblPr>
        <w:tblStyle w:val="TableGrid"/>
        <w:tblW w:w="0" w:type="auto"/>
        <w:tblLook w:val="04A0" w:firstRow="1" w:lastRow="0" w:firstColumn="1" w:lastColumn="0" w:noHBand="0" w:noVBand="1"/>
      </w:tblPr>
      <w:tblGrid>
        <w:gridCol w:w="9016"/>
      </w:tblGrid>
      <w:tr w:rsidR="00A932F6" w:rsidRPr="009E79B8" w14:paraId="770CF75E" w14:textId="77777777" w:rsidTr="00672D59">
        <w:tc>
          <w:tcPr>
            <w:tcW w:w="9016" w:type="dxa"/>
          </w:tcPr>
          <w:bookmarkEnd w:id="5"/>
          <w:p w14:paraId="4820B57D" w14:textId="77777777" w:rsidR="00A932F6" w:rsidRPr="009E79B8" w:rsidRDefault="00A932F6" w:rsidP="00672D59">
            <w:pPr>
              <w:autoSpaceDE w:val="0"/>
              <w:autoSpaceDN w:val="0"/>
              <w:adjustRightInd w:val="0"/>
              <w:spacing w:after="120"/>
              <w:rPr>
                <w:rFonts w:ascii="Arial" w:hAnsi="Arial" w:cs="Arial"/>
                <w:b/>
                <w:bCs/>
                <w:color w:val="1155CD"/>
              </w:rPr>
            </w:pPr>
            <w:r w:rsidRPr="009E79B8">
              <w:rPr>
                <w:rFonts w:ascii="Arial" w:hAnsi="Arial" w:cs="Arial"/>
                <w:b/>
                <w:bCs/>
                <w:color w:val="1155CD"/>
              </w:rPr>
              <w:t>Learner Digital Entitlement 2019/20</w:t>
            </w:r>
          </w:p>
          <w:p w14:paraId="29DF5008" w14:textId="77777777" w:rsidR="00A932F6" w:rsidRPr="009E79B8" w:rsidRDefault="00A932F6" w:rsidP="00672D59">
            <w:pPr>
              <w:autoSpaceDE w:val="0"/>
              <w:autoSpaceDN w:val="0"/>
              <w:adjustRightInd w:val="0"/>
              <w:spacing w:after="120"/>
              <w:rPr>
                <w:rFonts w:ascii="Arial" w:hAnsi="Arial" w:cs="Arial"/>
                <w:color w:val="000000"/>
              </w:rPr>
            </w:pPr>
            <w:r w:rsidRPr="009E79B8">
              <w:rPr>
                <w:rFonts w:ascii="Arial" w:hAnsi="Arial" w:cs="Arial"/>
                <w:color w:val="000000"/>
              </w:rPr>
              <w:t>Our aim is to ensure that our learners are able to access all of the resources they need online to complete their courses successfully. As a learner at TACC, you have a minimum digital entitlement which will enable you to complete your Learning Journey effectively.</w:t>
            </w:r>
          </w:p>
          <w:p w14:paraId="770E11A7" w14:textId="77777777" w:rsidR="00A932F6" w:rsidRPr="009E79B8" w:rsidRDefault="00A932F6" w:rsidP="00672D59">
            <w:pPr>
              <w:autoSpaceDE w:val="0"/>
              <w:autoSpaceDN w:val="0"/>
              <w:adjustRightInd w:val="0"/>
              <w:spacing w:after="120"/>
              <w:rPr>
                <w:rFonts w:ascii="Arial" w:hAnsi="Arial" w:cs="Arial"/>
                <w:color w:val="000000"/>
              </w:rPr>
            </w:pPr>
            <w:r w:rsidRPr="009E79B8">
              <w:rPr>
                <w:rFonts w:ascii="Arial" w:hAnsi="Arial" w:cs="Arial"/>
                <w:color w:val="000000"/>
              </w:rPr>
              <w:t>You minimum entitlement includes:</w:t>
            </w:r>
          </w:p>
          <w:p w14:paraId="71C83032" w14:textId="77777777" w:rsidR="00A932F6" w:rsidRPr="009E79B8" w:rsidRDefault="00A932F6" w:rsidP="00672D59">
            <w:pPr>
              <w:pStyle w:val="DANavybullet"/>
              <w:rPr>
                <w:b/>
                <w:bCs/>
                <w:color w:val="1155CD"/>
              </w:rPr>
            </w:pPr>
            <w:r w:rsidRPr="009E79B8">
              <w:t xml:space="preserve">Free Wi-Fi available for all learners on our main campus. Select </w:t>
            </w:r>
            <w:r w:rsidRPr="009E79B8">
              <w:rPr>
                <w:b/>
                <w:bCs/>
                <w:color w:val="1155CD"/>
              </w:rPr>
              <w:t>TACC Gues</w:t>
            </w:r>
            <w:r w:rsidRPr="009E79B8">
              <w:rPr>
                <w:b/>
                <w:bCs/>
                <w:color w:val="3C78D9"/>
              </w:rPr>
              <w:t xml:space="preserve">t </w:t>
            </w:r>
            <w:r w:rsidRPr="009E79B8">
              <w:t>network, read and agree to the terms of use, then click connect.</w:t>
            </w:r>
          </w:p>
          <w:p w14:paraId="27EDEA2C" w14:textId="77777777" w:rsidR="00A932F6" w:rsidRPr="009E79B8" w:rsidRDefault="00A932F6" w:rsidP="00672D59">
            <w:pPr>
              <w:pStyle w:val="DANavybullet"/>
            </w:pPr>
            <w:r w:rsidRPr="009E79B8">
              <w:t>A policy that encourages you to bring your own devices in to College if you have them, including laptops, tablets and mobile phones.</w:t>
            </w:r>
          </w:p>
          <w:p w14:paraId="6D3D6523" w14:textId="77777777" w:rsidR="00A932F6" w:rsidRPr="009E79B8" w:rsidRDefault="00A932F6" w:rsidP="00672D59">
            <w:pPr>
              <w:pStyle w:val="DANavybullet"/>
            </w:pPr>
            <w:r w:rsidRPr="009E79B8">
              <w:t>The Cyber Café at the Grays Adult Education Centre is open to everyone and gives free access to the internet (subject to accepting our Acceptable Use Statement) from one of the fast-browsing machines.</w:t>
            </w:r>
          </w:p>
          <w:p w14:paraId="675DD0AC" w14:textId="77777777" w:rsidR="00A932F6" w:rsidRPr="009E79B8" w:rsidRDefault="00A932F6" w:rsidP="00672D59">
            <w:pPr>
              <w:pStyle w:val="DANavybullet"/>
            </w:pPr>
            <w:r w:rsidRPr="009E79B8">
              <w:t>Two fully-equipped IT suites and additional PCs in the Learning and Development Hub to provide you with online access out of your class times.</w:t>
            </w:r>
          </w:p>
          <w:p w14:paraId="151B3220" w14:textId="77777777" w:rsidR="00A932F6" w:rsidRPr="009E79B8" w:rsidRDefault="00A932F6" w:rsidP="00672D59">
            <w:pPr>
              <w:pStyle w:val="DANavybullet"/>
            </w:pPr>
            <w:r w:rsidRPr="009E79B8">
              <w:t xml:space="preserve">Free access to newspapers, periodicals and journals through Thurrock Libraries </w:t>
            </w:r>
            <w:r w:rsidRPr="009E79B8">
              <w:rPr>
                <w:b/>
                <w:bCs/>
                <w:color w:val="1155CD"/>
              </w:rPr>
              <w:t>Press Reader.</w:t>
            </w:r>
          </w:p>
          <w:p w14:paraId="4F5EAEB8" w14:textId="77777777" w:rsidR="00A932F6" w:rsidRPr="009E79B8" w:rsidRDefault="00A932F6" w:rsidP="00672D59">
            <w:pPr>
              <w:pStyle w:val="DANavybullet"/>
            </w:pPr>
            <w:r w:rsidRPr="009E79B8">
              <w:t>A Learner ID and log-in to use with the PCs around the College.</w:t>
            </w:r>
          </w:p>
          <w:p w14:paraId="7E61B26A" w14:textId="77777777" w:rsidR="00A932F6" w:rsidRPr="009E79B8" w:rsidRDefault="00A932F6" w:rsidP="00672D59">
            <w:pPr>
              <w:pStyle w:val="DANavybullet"/>
            </w:pPr>
            <w:r w:rsidRPr="009E79B8">
              <w:t>Access to a College email address and online personal drive space so that you can work 24/7, either in College or outside.</w:t>
            </w:r>
          </w:p>
          <w:p w14:paraId="05068A17" w14:textId="77777777" w:rsidR="00A932F6" w:rsidRPr="009E79B8" w:rsidRDefault="00A932F6" w:rsidP="00672D59">
            <w:pPr>
              <w:pStyle w:val="DANavybullet"/>
            </w:pPr>
            <w:r w:rsidRPr="009E79B8">
              <w:t>An on-line Learning Plan to help you structure your learning and give you access to all of the resources and materials you need. Some of our courses also use a virtual learning environment (either Moodle or G-Suite).</w:t>
            </w:r>
          </w:p>
          <w:p w14:paraId="66EC5850" w14:textId="77777777" w:rsidR="00A932F6" w:rsidRPr="009E79B8" w:rsidRDefault="00A932F6" w:rsidP="00672D59">
            <w:pPr>
              <w:pStyle w:val="DANavybullet"/>
            </w:pPr>
            <w:r w:rsidRPr="009E79B8">
              <w:t>An online Learner Guide so that you can easily find all of the information you need whilst you are studying here.</w:t>
            </w:r>
          </w:p>
          <w:p w14:paraId="1404EB9A" w14:textId="77777777" w:rsidR="00A932F6" w:rsidRPr="009E79B8" w:rsidRDefault="00A932F6" w:rsidP="00672D59">
            <w:pPr>
              <w:pStyle w:val="DANavybullet"/>
            </w:pPr>
            <w:r w:rsidRPr="009E79B8">
              <w:t>Free digital skills training t</w:t>
            </w:r>
            <w:r>
              <w:t>hr</w:t>
            </w:r>
            <w:r w:rsidRPr="009E79B8">
              <w:t xml:space="preserve">ough </w:t>
            </w:r>
            <w:r w:rsidRPr="009E79B8">
              <w:rPr>
                <w:b/>
                <w:bCs/>
                <w:color w:val="1155CD"/>
              </w:rPr>
              <w:t>Learn My Way.</w:t>
            </w:r>
          </w:p>
          <w:p w14:paraId="1BCF340F" w14:textId="77777777" w:rsidR="00A932F6" w:rsidRPr="009E79B8" w:rsidRDefault="00A932F6" w:rsidP="00672D59">
            <w:pPr>
              <w:pStyle w:val="DANavybullet"/>
            </w:pPr>
            <w:r w:rsidRPr="009E79B8">
              <w:t xml:space="preserve">Support from your tutors and a Technology Officer to help you get connected. Contact </w:t>
            </w:r>
            <w:r w:rsidRPr="009E79B8">
              <w:rPr>
                <w:color w:val="1155CD"/>
              </w:rPr>
              <w:t>xxx</w:t>
            </w:r>
          </w:p>
        </w:tc>
      </w:tr>
    </w:tbl>
    <w:p w14:paraId="477ABBC5" w14:textId="77777777" w:rsidR="00A932F6" w:rsidRPr="009E79B8" w:rsidRDefault="00A932F6" w:rsidP="00A932F6">
      <w:pPr>
        <w:spacing w:after="120"/>
        <w:rPr>
          <w:rFonts w:ascii="Arial" w:hAnsi="Arial" w:cs="Arial"/>
          <w:b/>
          <w:bCs/>
        </w:rPr>
      </w:pPr>
    </w:p>
    <w:p w14:paraId="4A8260B0" w14:textId="77777777" w:rsidR="00A932F6" w:rsidRDefault="00A932F6" w:rsidP="00A932F6"/>
    <w:p w14:paraId="51A7A4CC" w14:textId="77777777" w:rsidR="007B0A90" w:rsidRDefault="007B0A90"/>
    <w:sectPr w:rsidR="007B0A90" w:rsidSect="00D66CA8">
      <w:footerReference w:type="default" r:id="rId9"/>
      <w:pgSz w:w="11906" w:h="16838"/>
      <w:pgMar w:top="851" w:right="1440" w:bottom="1276" w:left="1440"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4828F" w14:textId="77777777" w:rsidR="00AD2B52" w:rsidRDefault="00AD2B52" w:rsidP="00D66CA8">
      <w:r>
        <w:separator/>
      </w:r>
    </w:p>
  </w:endnote>
  <w:endnote w:type="continuationSeparator" w:id="0">
    <w:p w14:paraId="2E6D513A" w14:textId="77777777" w:rsidR="00AD2B52" w:rsidRDefault="00AD2B52" w:rsidP="00D6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660317"/>
      <w:docPartObj>
        <w:docPartGallery w:val="Page Numbers (Bottom of Page)"/>
        <w:docPartUnique/>
      </w:docPartObj>
    </w:sdtPr>
    <w:sdtEndPr>
      <w:rPr>
        <w:noProof/>
      </w:rPr>
    </w:sdtEndPr>
    <w:sdtContent>
      <w:p w14:paraId="41CFBD2A" w14:textId="77777777" w:rsidR="0052222A" w:rsidRDefault="0052222A">
        <w:pPr>
          <w:pStyle w:val="Footer"/>
          <w:jc w:val="center"/>
          <w:rPr>
            <w:rFonts w:ascii="Arial" w:hAnsi="Arial" w:cs="Arial"/>
            <w:sz w:val="20"/>
            <w:szCs w:val="20"/>
          </w:rPr>
        </w:pPr>
      </w:p>
      <w:p w14:paraId="3F7B41E1" w14:textId="46A4F820" w:rsidR="0052222A" w:rsidRDefault="0052222A">
        <w:pPr>
          <w:pStyle w:val="Footer"/>
          <w:jc w:val="center"/>
        </w:pPr>
        <w:r w:rsidRPr="0052222A">
          <w:rPr>
            <w:rFonts w:ascii="Arial" w:hAnsi="Arial" w:cs="Arial"/>
            <w:sz w:val="20"/>
            <w:szCs w:val="20"/>
          </w:rPr>
          <w:fldChar w:fldCharType="begin"/>
        </w:r>
        <w:r w:rsidRPr="0052222A">
          <w:rPr>
            <w:rFonts w:ascii="Arial" w:hAnsi="Arial" w:cs="Arial"/>
            <w:sz w:val="20"/>
            <w:szCs w:val="20"/>
          </w:rPr>
          <w:instrText xml:space="preserve"> PAGE   \* MERGEFORMAT </w:instrText>
        </w:r>
        <w:r w:rsidRPr="0052222A">
          <w:rPr>
            <w:rFonts w:ascii="Arial" w:hAnsi="Arial" w:cs="Arial"/>
            <w:sz w:val="20"/>
            <w:szCs w:val="20"/>
          </w:rPr>
          <w:fldChar w:fldCharType="separate"/>
        </w:r>
        <w:r w:rsidRPr="0052222A">
          <w:rPr>
            <w:rFonts w:ascii="Arial" w:hAnsi="Arial" w:cs="Arial"/>
            <w:noProof/>
            <w:sz w:val="20"/>
            <w:szCs w:val="20"/>
          </w:rPr>
          <w:t>2</w:t>
        </w:r>
        <w:r w:rsidRPr="0052222A">
          <w:rPr>
            <w:rFonts w:ascii="Arial" w:hAnsi="Arial" w:cs="Arial"/>
            <w:noProof/>
            <w:sz w:val="20"/>
            <w:szCs w:val="20"/>
          </w:rPr>
          <w:fldChar w:fldCharType="end"/>
        </w:r>
      </w:p>
    </w:sdtContent>
  </w:sdt>
  <w:p w14:paraId="09DC147B" w14:textId="77777777" w:rsidR="0052222A" w:rsidRDefault="0052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4AB71" w14:textId="77777777" w:rsidR="00AD2B52" w:rsidRDefault="00AD2B52" w:rsidP="00D66CA8">
      <w:r>
        <w:separator/>
      </w:r>
    </w:p>
  </w:footnote>
  <w:footnote w:type="continuationSeparator" w:id="0">
    <w:p w14:paraId="6C54BAD7" w14:textId="77777777" w:rsidR="00AD2B52" w:rsidRDefault="00AD2B52" w:rsidP="00D66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2FD4"/>
    <w:multiLevelType w:val="hybridMultilevel"/>
    <w:tmpl w:val="FC18CE36"/>
    <w:lvl w:ilvl="0" w:tplc="0809000B">
      <w:start w:val="1"/>
      <w:numFmt w:val="bullet"/>
      <w:lvlText w:val=""/>
      <w:lvlJc w:val="left"/>
      <w:pPr>
        <w:ind w:left="360" w:hanging="360"/>
      </w:pPr>
      <w:rPr>
        <w:rFonts w:ascii="Wingdings" w:hAnsi="Wingdings" w:hint="default"/>
        <w:color w:val="000000" w:themeColor="text1"/>
        <w:u w:color="538135" w:themeColor="accent6" w:themeShade="BF"/>
      </w:rPr>
    </w:lvl>
    <w:lvl w:ilvl="1" w:tplc="A0568E6A">
      <w:start w:val="1"/>
      <w:numFmt w:val="bullet"/>
      <w:pStyle w:val="DAbullet"/>
      <w:lvlText w:val=""/>
      <w:lvlJc w:val="left"/>
      <w:pPr>
        <w:ind w:left="1080" w:hanging="360"/>
      </w:pPr>
      <w:rPr>
        <w:rFonts w:ascii="Wingdings" w:hAnsi="Wingdings" w:hint="default"/>
        <w:color w:val="2A2853"/>
      </w:rPr>
    </w:lvl>
    <w:lvl w:ilvl="2" w:tplc="3428470A">
      <w:start w:val="1"/>
      <w:numFmt w:val="bullet"/>
      <w:lvlText w:val=""/>
      <w:lvlJc w:val="left"/>
      <w:pPr>
        <w:ind w:left="1800" w:hanging="360"/>
      </w:pPr>
      <w:rPr>
        <w:rFonts w:ascii="Wingdings" w:hAnsi="Wingdings" w:hint="default"/>
        <w:color w:val="2A2853"/>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80C5C1C"/>
    <w:multiLevelType w:val="hybridMultilevel"/>
    <w:tmpl w:val="1EC49A12"/>
    <w:lvl w:ilvl="0" w:tplc="3E7EBC54">
      <w:start w:val="1"/>
      <w:numFmt w:val="bullet"/>
      <w:pStyle w:val="DANavybullet"/>
      <w:lvlText w:val=""/>
      <w:lvlJc w:val="left"/>
      <w:pPr>
        <w:ind w:left="720" w:hanging="360"/>
      </w:pPr>
      <w:rPr>
        <w:rFonts w:ascii="Symbol" w:hAnsi="Symbol" w:hint="default"/>
        <w:color w:val="2A28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8"/>
    <w:rsid w:val="000A42CA"/>
    <w:rsid w:val="001E6805"/>
    <w:rsid w:val="0052222A"/>
    <w:rsid w:val="007B0A90"/>
    <w:rsid w:val="008171EB"/>
    <w:rsid w:val="00A932F6"/>
    <w:rsid w:val="00AD2B52"/>
    <w:rsid w:val="00D66CA8"/>
    <w:rsid w:val="00DB4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AF7D7"/>
  <w15:chartTrackingRefBased/>
  <w15:docId w15:val="{6B7C25D9-6BD9-463C-AA21-D267DFA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8"/>
    <w:pPr>
      <w:spacing w:after="0" w:line="240" w:lineRule="auto"/>
    </w:pPr>
    <w:rPr>
      <w:rFonts w:ascii="Helvetica" w:hAnsi="Helvetica"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6CA8"/>
    <w:pPr>
      <w:ind w:left="720"/>
      <w:contextualSpacing/>
    </w:pPr>
  </w:style>
  <w:style w:type="character" w:customStyle="1" w:styleId="ListParagraphChar">
    <w:name w:val="List Paragraph Char"/>
    <w:basedOn w:val="DefaultParagraphFont"/>
    <w:link w:val="ListParagraph"/>
    <w:uiPriority w:val="34"/>
    <w:rsid w:val="00D66CA8"/>
    <w:rPr>
      <w:rFonts w:ascii="Helvetica" w:hAnsi="Helvetica" w:cstheme="minorHAnsi"/>
      <w:sz w:val="24"/>
      <w:szCs w:val="24"/>
    </w:rPr>
  </w:style>
  <w:style w:type="paragraph" w:customStyle="1" w:styleId="Referencelink">
    <w:name w:val="Reference/link"/>
    <w:basedOn w:val="Normal"/>
    <w:link w:val="ReferencelinkChar"/>
    <w:qFormat/>
    <w:rsid w:val="00D66CA8"/>
    <w:pPr>
      <w:spacing w:after="120"/>
    </w:pPr>
    <w:rPr>
      <w:rFonts w:ascii="Arial" w:eastAsia="Times New Roman" w:hAnsi="Arial" w:cs="Arial"/>
      <w:b/>
      <w:bCs/>
      <w:color w:val="2A2853"/>
    </w:rPr>
  </w:style>
  <w:style w:type="character" w:customStyle="1" w:styleId="ReferencelinkChar">
    <w:name w:val="Reference/link Char"/>
    <w:basedOn w:val="DefaultParagraphFont"/>
    <w:link w:val="Referencelink"/>
    <w:rsid w:val="00D66CA8"/>
    <w:rPr>
      <w:rFonts w:ascii="Arial" w:eastAsia="Times New Roman" w:hAnsi="Arial" w:cs="Arial"/>
      <w:b/>
      <w:bCs/>
      <w:color w:val="2A2853"/>
      <w:sz w:val="24"/>
      <w:szCs w:val="24"/>
    </w:rPr>
  </w:style>
  <w:style w:type="paragraph" w:customStyle="1" w:styleId="DAbullet">
    <w:name w:val="DA bullet"/>
    <w:basedOn w:val="ListParagraph"/>
    <w:link w:val="DAbulletChar"/>
    <w:qFormat/>
    <w:rsid w:val="00D66CA8"/>
    <w:pPr>
      <w:numPr>
        <w:ilvl w:val="1"/>
        <w:numId w:val="2"/>
      </w:numPr>
      <w:spacing w:after="120"/>
      <w:contextualSpacing w:val="0"/>
    </w:pPr>
    <w:rPr>
      <w:rFonts w:ascii="Arial" w:eastAsia="Times New Roman" w:hAnsi="Arial" w:cs="Arial"/>
    </w:rPr>
  </w:style>
  <w:style w:type="character" w:customStyle="1" w:styleId="DAbulletChar">
    <w:name w:val="DA bullet Char"/>
    <w:basedOn w:val="ListParagraphChar"/>
    <w:link w:val="DAbullet"/>
    <w:rsid w:val="00D66CA8"/>
    <w:rPr>
      <w:rFonts w:ascii="Arial" w:eastAsia="Times New Roman" w:hAnsi="Arial" w:cs="Arial"/>
      <w:sz w:val="24"/>
      <w:szCs w:val="24"/>
    </w:rPr>
  </w:style>
  <w:style w:type="paragraph" w:customStyle="1" w:styleId="DANavybullet">
    <w:name w:val="DA Navy bullet"/>
    <w:basedOn w:val="ListParagraph"/>
    <w:link w:val="DANavybulletChar"/>
    <w:qFormat/>
    <w:rsid w:val="00D66CA8"/>
    <w:pPr>
      <w:numPr>
        <w:numId w:val="1"/>
      </w:numPr>
      <w:spacing w:after="120"/>
      <w:ind w:left="426" w:hanging="426"/>
      <w:contextualSpacing w:val="0"/>
    </w:pPr>
    <w:rPr>
      <w:rFonts w:ascii="Arial" w:eastAsia="Times New Roman" w:hAnsi="Arial" w:cs="Arial"/>
      <w:lang w:eastAsia="en-GB"/>
    </w:rPr>
  </w:style>
  <w:style w:type="character" w:customStyle="1" w:styleId="DANavybulletChar">
    <w:name w:val="DA Navy bullet Char"/>
    <w:basedOn w:val="ListParagraphChar"/>
    <w:link w:val="DANavybullet"/>
    <w:rsid w:val="00D66CA8"/>
    <w:rPr>
      <w:rFonts w:ascii="Arial" w:eastAsia="Times New Roman" w:hAnsi="Arial" w:cs="Arial"/>
      <w:sz w:val="24"/>
      <w:szCs w:val="24"/>
      <w:lang w:eastAsia="en-GB"/>
    </w:rPr>
  </w:style>
  <w:style w:type="paragraph" w:customStyle="1" w:styleId="DAAnnexes">
    <w:name w:val="DA Annexes"/>
    <w:basedOn w:val="Normal"/>
    <w:link w:val="DAAnnexesChar"/>
    <w:qFormat/>
    <w:rsid w:val="00D66CA8"/>
    <w:pPr>
      <w:tabs>
        <w:tab w:val="left" w:pos="0"/>
      </w:tabs>
      <w:autoSpaceDE w:val="0"/>
      <w:autoSpaceDN w:val="0"/>
      <w:adjustRightInd w:val="0"/>
      <w:spacing w:before="120" w:after="120"/>
      <w:contextualSpacing/>
    </w:pPr>
    <w:rPr>
      <w:rFonts w:ascii="Arial" w:hAnsi="Arial" w:cs="Arial"/>
      <w:b/>
      <w:bCs/>
      <w:color w:val="2A2853"/>
      <w:sz w:val="28"/>
      <w:szCs w:val="28"/>
    </w:rPr>
  </w:style>
  <w:style w:type="character" w:customStyle="1" w:styleId="DAAnnexesChar">
    <w:name w:val="DA Annexes Char"/>
    <w:basedOn w:val="DefaultParagraphFont"/>
    <w:link w:val="DAAnnexes"/>
    <w:rsid w:val="00D66CA8"/>
    <w:rPr>
      <w:rFonts w:ascii="Arial" w:hAnsi="Arial" w:cs="Arial"/>
      <w:b/>
      <w:bCs/>
      <w:color w:val="2A2853"/>
      <w:sz w:val="28"/>
      <w:szCs w:val="28"/>
    </w:rPr>
  </w:style>
  <w:style w:type="table" w:styleId="TableGrid">
    <w:name w:val="Table Grid"/>
    <w:basedOn w:val="TableNormal"/>
    <w:uiPriority w:val="59"/>
    <w:rsid w:val="00D66CA8"/>
    <w:pPr>
      <w:spacing w:after="0" w:line="240" w:lineRule="auto"/>
    </w:pPr>
    <w:rPr>
      <w:rFonts w:ascii="Helvetica" w:hAnsi="Helvetica"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CA8"/>
    <w:pPr>
      <w:tabs>
        <w:tab w:val="center" w:pos="4513"/>
        <w:tab w:val="right" w:pos="9026"/>
      </w:tabs>
    </w:pPr>
  </w:style>
  <w:style w:type="character" w:customStyle="1" w:styleId="HeaderChar">
    <w:name w:val="Header Char"/>
    <w:basedOn w:val="DefaultParagraphFont"/>
    <w:link w:val="Header"/>
    <w:uiPriority w:val="99"/>
    <w:rsid w:val="00D66CA8"/>
    <w:rPr>
      <w:rFonts w:ascii="Helvetica" w:hAnsi="Helvetica" w:cstheme="minorHAnsi"/>
      <w:sz w:val="24"/>
      <w:szCs w:val="24"/>
    </w:rPr>
  </w:style>
  <w:style w:type="paragraph" w:styleId="Footer">
    <w:name w:val="footer"/>
    <w:basedOn w:val="Normal"/>
    <w:link w:val="FooterChar"/>
    <w:uiPriority w:val="99"/>
    <w:unhideWhenUsed/>
    <w:rsid w:val="00D66CA8"/>
    <w:pPr>
      <w:tabs>
        <w:tab w:val="center" w:pos="4513"/>
        <w:tab w:val="right" w:pos="9026"/>
      </w:tabs>
    </w:pPr>
  </w:style>
  <w:style w:type="character" w:customStyle="1" w:styleId="FooterChar">
    <w:name w:val="Footer Char"/>
    <w:basedOn w:val="DefaultParagraphFont"/>
    <w:link w:val="Footer"/>
    <w:uiPriority w:val="99"/>
    <w:rsid w:val="00D66CA8"/>
    <w:rPr>
      <w:rFonts w:ascii="Helvetica" w:hAnsi="Helvetica"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charlie</cp:lastModifiedBy>
  <cp:revision>3</cp:revision>
  <dcterms:created xsi:type="dcterms:W3CDTF">2020-09-25T19:13:00Z</dcterms:created>
  <dcterms:modified xsi:type="dcterms:W3CDTF">2020-09-25T19:14:00Z</dcterms:modified>
</cp:coreProperties>
</file>